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before="960" w:after="160"/>
      </w:pPr>
      <w:r>
        <w:rPr>
          <w:rFonts w:ascii="Arial" w:hAnsi="Arial"/>
          <w:b/>
          <w:i w:val="0"/>
          <w:color w:val="087E8B"/>
          <w:sz w:val="24"/>
        </w:rPr>
        <w:t>SAAS PILOT</w:t>
      </w:r>
    </w:p>
    <w:p>
      <w:pPr>
        <w:widowControl/>
        <w:spacing w:after="200"/>
      </w:pPr>
      <w:r>
        <w:rPr>
          <w:rFonts w:ascii="Arial" w:hAnsi="Arial"/>
          <w:b/>
          <w:i w:val="0"/>
          <w:color w:val="17324D"/>
          <w:sz w:val="58"/>
        </w:rPr>
        <w:t>AGREEMENT TEMPLATE</w:t>
      </w:r>
    </w:p>
    <w:p>
      <w:pPr>
        <w:widowControl/>
        <w:spacing w:after="400"/>
      </w:pPr>
      <w:r>
        <w:rPr>
          <w:rFonts w:ascii="Arial" w:hAnsi="Arial"/>
          <w:b w:val="0"/>
          <w:i w:val="0"/>
          <w:color w:val="536273"/>
          <w:sz w:val="24"/>
        </w:rPr>
        <w:t>A practical, editable starting point for B2B SaaS startups and pilot customers</w:t>
      </w:r>
    </w:p>
    <w:tbl>
      <w:tblPr>
        <w:tblW w:type="auto" w:w="0"/>
        <w:jc w:val="center"/>
        <w:tblLayout w:type="fixed"/>
        <w:tblLook w:firstColumn="1" w:firstRow="1" w:lastColumn="0" w:lastRow="0" w:noHBand="0" w:noVBand="1" w:val="04A0"/>
      </w:tblPr>
      <w:tblGrid>
        <w:gridCol w:w="9864"/>
      </w:tblGrid>
      <w:tr>
        <w:tc>
          <w:tcPr>
            <w:tcW w:type="dxa" w:w="9994"/>
            <w:shd w:fill="EAF4F5"/>
            <w:tcMar>
              <w:top w:w="130" w:type="dxa"/>
              <w:start w:w="160" w:type="dxa"/>
              <w:bottom w:w="130" w:type="dxa"/>
              <w:end w:w="160" w:type="dxa"/>
            </w:tcMar>
          </w:tcPr>
          <w:p>
            <w:pPr>
              <w:widowControl/>
              <w:spacing w:after="40"/>
            </w:pPr>
            <w:r>
              <w:rPr>
                <w:rFonts w:ascii="Arial" w:hAnsi="Arial"/>
                <w:b/>
                <w:i w:val="0"/>
                <w:color w:val="087E8B"/>
                <w:sz w:val="19"/>
              </w:rPr>
              <w:t>WHAT THIS FILE INCLUDES</w:t>
            </w:r>
          </w:p>
          <w:p>
            <w:pPr>
              <w:widowControl/>
              <w:spacing w:after="0"/>
            </w:pPr>
            <w:r>
              <w:rPr>
                <w:rFonts w:ascii="Arial" w:hAnsi="Arial"/>
                <w:b w:val="0"/>
                <w:i w:val="0"/>
                <w:color w:val="1F2933"/>
                <w:sz w:val="18"/>
              </w:rPr>
              <w:t>A copyable pilot agreement, fill-in fields, optional free/paid pilot wording, scope and success-criteria schedules, and a pre-signing checklist.</w:t>
            </w:r>
          </w:p>
        </w:tc>
      </w:tr>
    </w:tbl>
    <w:p>
      <w:pPr>
        <w:widowControl/>
        <w:spacing w:after="20"/>
      </w:pPr>
    </w:p>
    <w:p>
      <w:pPr>
        <w:pStyle w:val="Heading1"/>
        <w:widowControl/>
        <w:spacing w:before="240" w:after="100"/>
        <w:keepNext/>
      </w:pPr>
      <w:r>
        <w:rPr>
          <w:rFonts w:ascii="Arial" w:hAnsi="Arial"/>
          <w:b/>
          <w:i w:val="0"/>
          <w:color w:val="17324D"/>
          <w:sz w:val="30"/>
        </w:rPr>
        <w:t>Before you use this template</w:t>
      </w:r>
    </w:p>
    <w:p>
      <w:pPr>
        <w:pStyle w:val="ListBullet"/>
        <w:widowControl/>
        <w:spacing w:after="40"/>
      </w:pPr>
      <w:r>
        <w:rPr>
          <w:rFonts w:ascii="Arial" w:hAnsi="Arial"/>
          <w:b w:val="0"/>
          <w:i w:val="0"/>
          <w:sz w:val="19"/>
        </w:rPr>
        <w:t>Replace every [BRACKETED FIELD] with deal-specific details. If a field does not apply, write “Not applicable” or remove it after review.</w:t>
      </w:r>
    </w:p>
    <w:p>
      <w:pPr>
        <w:pStyle w:val="ListBullet"/>
        <w:widowControl/>
        <w:spacing w:after="40"/>
      </w:pPr>
      <w:r>
        <w:rPr>
          <w:rFonts w:ascii="Arial" w:hAnsi="Arial"/>
          <w:b w:val="0"/>
          <w:i w:val="0"/>
          <w:sz w:val="19"/>
        </w:rPr>
        <w:t>Delete drafting notes and any option you do not select. Keep only one version where the template offers alternatives.</w:t>
      </w:r>
    </w:p>
    <w:p>
      <w:pPr>
        <w:pStyle w:val="ListBullet"/>
        <w:widowControl/>
        <w:spacing w:after="40"/>
      </w:pPr>
      <w:r>
        <w:rPr>
          <w:rFonts w:ascii="Arial" w:hAnsi="Arial"/>
          <w:b w:val="0"/>
          <w:i w:val="0"/>
          <w:sz w:val="19"/>
        </w:rPr>
        <w:t>Attach a statement of work, data processing agreement, security schedule, or other addendum if the deal requires one.</w:t>
      </w:r>
    </w:p>
    <w:p>
      <w:pPr>
        <w:pStyle w:val="ListBullet"/>
        <w:widowControl/>
        <w:spacing w:after="40"/>
      </w:pPr>
      <w:r>
        <w:rPr>
          <w:rFonts w:ascii="Arial" w:hAnsi="Arial"/>
          <w:b w:val="0"/>
          <w:i w:val="0"/>
          <w:sz w:val="19"/>
        </w:rPr>
        <w:t>Have qualified counsel review the agreement for the relevant jurisdiction, especially for personal data, regulated information, security commitments, IP ownership, indemnities, and liability limits.</w:t>
      </w:r>
    </w:p>
    <w:tbl>
      <w:tblPr>
        <w:tblW w:type="auto" w:w="0"/>
        <w:jc w:val="center"/>
        <w:tblLayout w:type="fixed"/>
        <w:tblLook w:firstColumn="1" w:firstRow="1" w:lastColumn="0" w:lastRow="0" w:noHBand="0" w:noVBand="1" w:val="04A0"/>
      </w:tblPr>
      <w:tblGrid>
        <w:gridCol w:w="9864"/>
      </w:tblGrid>
      <w:tr>
        <w:tc>
          <w:tcPr>
            <w:tcW w:type="dxa" w:w="9994"/>
            <w:shd w:fill="FFF4E5"/>
            <w:tcMar>
              <w:top w:w="130" w:type="dxa"/>
              <w:start w:w="160" w:type="dxa"/>
              <w:bottom w:w="130" w:type="dxa"/>
              <w:end w:w="160" w:type="dxa"/>
            </w:tcMar>
          </w:tcPr>
          <w:p>
            <w:pPr>
              <w:widowControl/>
              <w:spacing w:after="40"/>
            </w:pPr>
            <w:r>
              <w:rPr>
                <w:rFonts w:ascii="Arial" w:hAnsi="Arial"/>
                <w:b/>
                <w:i w:val="0"/>
                <w:color w:val="B7791F"/>
                <w:sz w:val="19"/>
              </w:rPr>
              <w:t>IMPORTANT</w:t>
            </w:r>
          </w:p>
          <w:p>
            <w:pPr>
              <w:widowControl/>
              <w:spacing w:after="0"/>
            </w:pPr>
            <w:r>
              <w:rPr>
                <w:rFonts w:ascii="Arial" w:hAnsi="Arial"/>
                <w:b w:val="0"/>
                <w:i w:val="0"/>
                <w:color w:val="1F2933"/>
                <w:sz w:val="18"/>
              </w:rPr>
              <w:t>This is a general drafting aid, not legal advice and not a guarantee of enforceability. It is not tailored to any country, industry, or transaction. The parties should obtain legal advice appropriate to their circumstances.</w:t>
            </w:r>
          </w:p>
        </w:tc>
      </w:tr>
    </w:tbl>
    <w:p>
      <w:pPr>
        <w:widowControl/>
        <w:spacing w:after="20"/>
      </w:pPr>
    </w:p>
    <w:p>
      <w:pPr>
        <w:pStyle w:val="Heading1"/>
        <w:widowControl/>
        <w:spacing w:before="240" w:after="100"/>
        <w:keepNext/>
      </w:pPr>
      <w:r>
        <w:rPr>
          <w:rFonts w:ascii="Arial" w:hAnsi="Arial"/>
          <w:b/>
          <w:i w:val="0"/>
          <w:color w:val="17324D"/>
          <w:sz w:val="30"/>
        </w:rPr>
        <w:t>Quick setup checklist</w:t>
      </w:r>
    </w:p>
    <w:tbl>
      <w:tblPr>
        <w:tblW w:type="auto" w:w="0"/>
        <w:jc w:val="center"/>
        <w:tblLayout w:type="fixed"/>
        <w:tblLook w:firstColumn="1" w:firstRow="1" w:lastColumn="0" w:lastRow="0" w:noHBand="0" w:noVBand="1" w:val="04A0"/>
      </w:tblPr>
      <w:tblGrid>
        <w:gridCol w:w="2880"/>
        <w:gridCol w:w="6984"/>
      </w:tblGrid>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Provider</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[LEGAL NAME, ENTITY TYPE, ADDRESS]</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Customer</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[LEGAL NAME, ENTITY TYPE, ADDRESS]</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Effective date</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[DATE OF LAST SIGNATURE OR OTHER AGREED DATE]</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Pilot dates</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[START DATE] to [END DATE]</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Pilot type</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[PAID / FREE — SELECT ONE]</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Pilot fee</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[CURRENCY AND AMOUNT OR “NO FEE”]</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Product / workspace</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[PRODUCT NAME, ENVIRONMENT, INCLUDED USERS]</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Governing law</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[JURISDICTION — CONFIRM WITH COUNSEL]</w:t>
            </w:r>
          </w:p>
        </w:tc>
      </w:tr>
    </w:tbl>
    <w:p>
      <w:pPr>
        <w:widowControl/>
        <w:spacing w:after="20"/>
      </w:pPr>
    </w:p>
    <w:p>
      <w:pPr>
        <w:widowControl/>
        <w:spacing w:before="280"/>
        <w:jc w:val="center"/>
      </w:pPr>
      <w:r>
        <w:rPr>
          <w:rFonts w:ascii="Arial" w:hAnsi="Arial"/>
          <w:b/>
          <w:i w:val="0"/>
          <w:color w:val="087E8B"/>
          <w:sz w:val="20"/>
        </w:rPr>
        <w:t>START OF AGREEMENT</w:t>
      </w:r>
    </w:p>
    <w:p>
      <w:pPr>
        <w:widowControl/>
      </w:pPr>
      <w:r>
        <w:br w:type="page"/>
      </w:r>
    </w:p>
    <w:p>
      <w:pPr>
        <w:pStyle w:val="Heading1"/>
        <w:widowControl/>
        <w:spacing w:before="240" w:after="100"/>
        <w:keepNext/>
      </w:pPr>
      <w:r>
        <w:rPr>
          <w:rFonts w:ascii="Arial" w:hAnsi="Arial"/>
          <w:b/>
          <w:i w:val="0"/>
          <w:color w:val="17324D"/>
          <w:sz w:val="30"/>
        </w:rPr>
        <w:t>SaaS Pilot Agreement</w:t>
      </w:r>
    </w:p>
    <w:p>
      <w:pPr>
        <w:widowControl/>
        <w:spacing w:after="80" w:before="0"/>
      </w:pPr>
      <w:r>
        <w:rPr>
          <w:rFonts w:ascii="Arial" w:hAnsi="Arial"/>
          <w:b w:val="0"/>
          <w:i w:val="0"/>
        </w:rPr>
        <w:t>This SaaS Pilot Agreement (the “Agreement”) is entered into as of [EFFECTIVE DATE] (the “Effective Date”) by and between:</w:t>
      </w:r>
    </w:p>
    <w:p>
      <w:pPr>
        <w:widowControl/>
        <w:spacing w:after="40" w:before="0"/>
      </w:pPr>
      <w:r>
        <w:rPr>
          <w:rFonts w:ascii="Arial" w:hAnsi="Arial"/>
          <w:b w:val="0"/>
          <w:i w:val="0"/>
        </w:rPr>
        <w:t>(1) [PROVIDER LEGAL NAME], a [ENTITY TYPE / PLACE OF REGISTRATION] with its principal address at [ADDRESS] (“Provider”); and</w:t>
      </w:r>
    </w:p>
    <w:p>
      <w:pPr>
        <w:widowControl/>
        <w:spacing w:after="100" w:before="0"/>
      </w:pPr>
      <w:r>
        <w:rPr>
          <w:rFonts w:ascii="Arial" w:hAnsi="Arial"/>
          <w:b w:val="0"/>
          <w:i w:val="0"/>
        </w:rPr>
        <w:t>(2) [CUSTOMER LEGAL NAME], a [ENTITY TYPE / PLACE OF REGISTRATION] with its principal address at [ADDRESS] (“Customer”).</w:t>
      </w:r>
    </w:p>
    <w:p>
      <w:pPr>
        <w:widowControl/>
        <w:spacing w:after="100" w:before="0"/>
      </w:pPr>
      <w:r>
        <w:rPr>
          <w:rFonts w:ascii="Arial" w:hAnsi="Arial"/>
          <w:b w:val="0"/>
          <w:i w:val="0"/>
        </w:rPr>
        <w:t>Provider and Customer may each be called a “Party” and together the “Parties.” In exchange for the promises in this Agreement, the Parties agree as follows:</w:t>
      </w:r>
    </w:p>
    <w:p>
      <w:pPr>
        <w:keepLines/>
        <w:widowControl/>
        <w:spacing w:before="120" w:after="80"/>
      </w:pPr>
      <w:r>
        <w:rPr>
          <w:rFonts w:ascii="Arial" w:hAnsi="Arial"/>
          <w:b/>
          <w:i w:val="0"/>
          <w:color w:val="17324D"/>
          <w:sz w:val="19"/>
        </w:rPr>
        <w:t xml:space="preserve">1. Pilot service and purpose. </w:t>
      </w:r>
      <w:r>
        <w:rPr>
          <w:rFonts w:ascii="Arial" w:hAnsi="Arial"/>
          <w:b w:val="0"/>
          <w:i w:val="0"/>
          <w:sz w:val="19"/>
        </w:rPr>
        <w:t>Provider will make the [PRODUCT / SERVICE NAME] (the “Service”) available to Customer solely for the limited evaluation described in Schedule A (the “Pilot”). The Pilot is intended to let the Parties evaluate the Service against the objectives and success criteria in Schedule B. The Pilot is not a commitment to purchase or provide a paid subscription after the Pilot ends.</w:t>
      </w:r>
    </w:p>
    <w:p>
      <w:pPr>
        <w:keepLines/>
        <w:widowControl/>
        <w:spacing w:before="120" w:after="80"/>
      </w:pPr>
      <w:r>
        <w:rPr>
          <w:rFonts w:ascii="Arial" w:hAnsi="Arial"/>
          <w:b/>
          <w:i w:val="0"/>
          <w:color w:val="17324D"/>
          <w:sz w:val="19"/>
        </w:rPr>
        <w:t xml:space="preserve">2. Pilot term. </w:t>
      </w:r>
      <w:r>
        <w:rPr>
          <w:rFonts w:ascii="Arial" w:hAnsi="Arial"/>
          <w:b w:val="0"/>
          <w:i w:val="0"/>
          <w:sz w:val="19"/>
        </w:rPr>
        <w:t>The Pilot begins on [START DATE] and ends on [END DATE], unless ended earlier under this Agreement. Any extension must be agreed in writing by authorized representatives of both Parties, including any change to fees, scope, or timing.</w:t>
      </w:r>
    </w:p>
    <w:p>
      <w:pPr>
        <w:keepLines/>
        <w:widowControl/>
        <w:spacing w:before="120" w:after="80"/>
      </w:pPr>
      <w:r>
        <w:rPr>
          <w:rFonts w:ascii="Arial" w:hAnsi="Arial"/>
          <w:b/>
          <w:i w:val="0"/>
          <w:color w:val="17324D"/>
          <w:sz w:val="19"/>
        </w:rPr>
        <w:t xml:space="preserve">3. Access and permitted use. </w:t>
      </w:r>
      <w:r>
        <w:rPr>
          <w:rFonts w:ascii="Arial" w:hAnsi="Arial"/>
          <w:b w:val="0"/>
          <w:i w:val="0"/>
          <w:sz w:val="19"/>
        </w:rPr>
        <w:t>Subject to this Agreement, Provider grants Customer a limited, non-exclusive, non-transferable, non-sublicensable right during the Pilot term for the users listed in Schedule A to access and use the Service solely for the Pilot’s internal evaluation. Customer will not (a) resell, sublicense, or make the Service available to an unauthorized third party; (b) reverse engineer, decompile, or attempt to discover source code, except to the extent such restriction is prohibited by applicable law; (c) bypass access controls; (d) use the Service unlawfully; or (e) use the Service to develop or benchmark a competing product where prohibited by applicable law. Customer is responsible for its users’ compliance with this Agreement.</w:t>
      </w:r>
    </w:p>
    <w:p>
      <w:pPr>
        <w:keepLines/>
        <w:widowControl/>
        <w:spacing w:before="120" w:after="80"/>
      </w:pPr>
      <w:r>
        <w:rPr>
          <w:rFonts w:ascii="Arial" w:hAnsi="Arial"/>
          <w:b/>
          <w:i w:val="0"/>
          <w:color w:val="17324D"/>
          <w:sz w:val="19"/>
        </w:rPr>
        <w:t xml:space="preserve">4. Pilot scope and change requests. </w:t>
      </w:r>
      <w:r>
        <w:rPr>
          <w:rFonts w:ascii="Arial" w:hAnsi="Arial"/>
          <w:b w:val="0"/>
          <w:i w:val="0"/>
          <w:sz w:val="19"/>
        </w:rPr>
        <w:t>The scope, deliverables, included users, integrations, support, assumptions, exclusions, and Customer dependencies are set out in Schedule A. Work not expressly included is excluded. A change to scope, timeline, or deliverables must be documented in a written change request approved by both Parties, including any additional fee and schedule impact, before the changed work begins.</w:t>
      </w:r>
    </w:p>
    <w:p>
      <w:pPr>
        <w:keepLines/>
        <w:widowControl/>
        <w:spacing w:before="120" w:after="80"/>
      </w:pPr>
      <w:r>
        <w:rPr>
          <w:rFonts w:ascii="Arial" w:hAnsi="Arial"/>
          <w:b/>
          <w:i w:val="0"/>
          <w:color w:val="17324D"/>
          <w:sz w:val="19"/>
        </w:rPr>
        <w:t xml:space="preserve">5. Customer responsibilities. </w:t>
      </w:r>
      <w:r>
        <w:rPr>
          <w:rFonts w:ascii="Arial" w:hAnsi="Arial"/>
          <w:b w:val="0"/>
          <w:i w:val="0"/>
          <w:sz w:val="19"/>
        </w:rPr>
        <w:t>Customer will: (a) appoint a pilot owner and provide timely decisions and feedback; (b) provide the access, materials, data, and personnel expressly listed in Schedule A; (c) ensure it has the rights and permissions required to provide any Customer Data; (d) use the Service in accordance with applicable law and any reasonable written usage instructions supplied by Provider; and (e) promptly notify Provider of material errors, suspected unauthorized access, or security concerns involving the Pilot. Provider is not responsible for delays caused by Customer’s failure to meet these responsibilities. If such a delay affects the timeline, the Parties will agree in writing whether to extend the Pilot or revise its scope; no extension applies automatically.</w:t>
      </w:r>
    </w:p>
    <w:p>
      <w:pPr>
        <w:keepLines/>
        <w:widowControl/>
        <w:spacing w:before="120" w:after="80"/>
      </w:pPr>
      <w:r>
        <w:rPr>
          <w:rFonts w:ascii="Arial" w:hAnsi="Arial"/>
          <w:b/>
          <w:i w:val="0"/>
          <w:color w:val="17324D"/>
          <w:sz w:val="19"/>
        </w:rPr>
        <w:t xml:space="preserve">6. Fees, expenses, and taxes. </w:t>
      </w:r>
      <w:r>
        <w:rPr>
          <w:rFonts w:ascii="Arial" w:hAnsi="Arial"/>
          <w:b w:val="0"/>
          <w:i w:val="0"/>
          <w:sz w:val="19"/>
        </w:rPr>
        <w:t>Select and complete one option below and delete the other option before signing.</w:t>
      </w:r>
    </w:p>
    <w:tbl>
      <w:tblPr>
        <w:tblW w:type="auto" w:w="0"/>
        <w:jc w:val="center"/>
        <w:tblLayout w:type="fixed"/>
        <w:tblLook w:firstColumn="1" w:firstRow="1" w:lastColumn="0" w:lastRow="0" w:noHBand="0" w:noVBand="1" w:val="04A0"/>
      </w:tblPr>
      <w:tblGrid>
        <w:gridCol w:w="9864"/>
      </w:tblGrid>
      <w:tr>
        <w:tc>
          <w:tcPr>
            <w:tcW w:type="dxa" w:w="9994"/>
            <w:shd w:fill="EAF4F5"/>
            <w:tcMar>
              <w:top w:w="130" w:type="dxa"/>
              <w:start w:w="160" w:type="dxa"/>
              <w:bottom w:w="130" w:type="dxa"/>
              <w:end w:w="160" w:type="dxa"/>
            </w:tcMar>
          </w:tcPr>
          <w:p>
            <w:pPr>
              <w:widowControl/>
              <w:spacing w:after="40"/>
            </w:pPr>
            <w:r>
              <w:rPr>
                <w:rFonts w:ascii="Arial" w:hAnsi="Arial"/>
                <w:b/>
                <w:i w:val="0"/>
                <w:color w:val="087E8B"/>
                <w:sz w:val="19"/>
              </w:rPr>
              <w:t>OPTION A — PAID PILOT (KEEP IF APPLICABLE)</w:t>
            </w:r>
          </w:p>
          <w:p>
            <w:pPr>
              <w:widowControl/>
              <w:spacing w:after="0"/>
            </w:pPr>
            <w:r>
              <w:rPr>
                <w:rFonts w:ascii="Arial" w:hAnsi="Arial"/>
                <w:b w:val="0"/>
                <w:i w:val="0"/>
                <w:color w:val="1F2933"/>
                <w:sz w:val="18"/>
              </w:rPr>
              <w:t>Customer will pay Provider a Pilot fee of [CURRENCY AND AMOUNT], payable [UPFRONT / IN INSTALLMENTS / WITHIN NUMBER OF DAYS AFTER INVOICE]. Provider may invoice [INVOICE MILESTONES]. Approved out-of-pocket expenses, if any, are [INCLUDED / REIMBURSED ONLY IF PRE-APPROVED IN WRITING]. Fees are [NON-REFUNDABLE EXCEPT AS EXPRESSLY STATED / SUBJECT TO THE FOLLOWING REFUND TERMS: …].</w:t>
            </w:r>
          </w:p>
        </w:tc>
      </w:tr>
    </w:tbl>
    <w:p>
      <w:pPr>
        <w:widowControl/>
        <w:spacing w:after="20"/>
      </w:pPr>
    </w:p>
    <w:tbl>
      <w:tblPr>
        <w:tblW w:type="auto" w:w="0"/>
        <w:jc w:val="center"/>
        <w:tblLayout w:type="fixed"/>
        <w:tblLook w:firstColumn="1" w:firstRow="1" w:lastColumn="0" w:lastRow="0" w:noHBand="0" w:noVBand="1" w:val="04A0"/>
      </w:tblPr>
      <w:tblGrid>
        <w:gridCol w:w="9864"/>
      </w:tblGrid>
      <w:tr>
        <w:tc>
          <w:tcPr>
            <w:tcW w:type="dxa" w:w="9994"/>
            <w:shd w:fill="EAF4F5"/>
            <w:tcMar>
              <w:top w:w="130" w:type="dxa"/>
              <w:start w:w="160" w:type="dxa"/>
              <w:bottom w:w="130" w:type="dxa"/>
              <w:end w:w="160" w:type="dxa"/>
            </w:tcMar>
          </w:tcPr>
          <w:p>
            <w:pPr>
              <w:widowControl/>
              <w:spacing w:after="40"/>
            </w:pPr>
            <w:r>
              <w:rPr>
                <w:rFonts w:ascii="Arial" w:hAnsi="Arial"/>
                <w:b/>
                <w:i w:val="0"/>
                <w:color w:val="087E8B"/>
                <w:sz w:val="19"/>
              </w:rPr>
              <w:t>OPTION B — FREE PILOT (KEEP IF APPLICABLE)</w:t>
            </w:r>
          </w:p>
          <w:p>
            <w:pPr>
              <w:widowControl/>
              <w:spacing w:after="0"/>
            </w:pPr>
            <w:r>
              <w:rPr>
                <w:rFonts w:ascii="Arial" w:hAnsi="Arial"/>
                <w:b w:val="0"/>
                <w:i w:val="0"/>
                <w:color w:val="1F2933"/>
                <w:sz w:val="18"/>
              </w:rPr>
              <w:t>No Pilot fee is payable for the limited scope in Schedule A. Customer remains responsible for any expenses or additional work only if it approves them in writing in advance. Any work beyond the included scope requires a written change request and may be charged at [RATE / AGREED FIXED FEE].</w:t>
            </w:r>
          </w:p>
        </w:tc>
      </w:tr>
    </w:tbl>
    <w:p>
      <w:pPr>
        <w:widowControl/>
        <w:spacing w:after="20"/>
      </w:pPr>
    </w:p>
    <w:p>
      <w:pPr>
        <w:widowControl/>
        <w:spacing w:after="80" w:before="0"/>
      </w:pPr>
      <w:r>
        <w:rPr>
          <w:rFonts w:ascii="Arial" w:hAnsi="Arial"/>
          <w:b w:val="0"/>
          <w:i w:val="0"/>
        </w:rPr>
        <w:t>Unless the Parties state otherwise here, fees are exclusive of applicable sales, use, value-added, withholding, or similar taxes, which will be handled as required by applicable law. Each Party is responsible for taxes imposed on its own income, personnel, and property. If Customer is legally required to withhold an amount from a payment, the Parties will cooperate in good faith on required documentation and lawful treatment.</w:t>
      </w:r>
    </w:p>
    <w:p>
      <w:pPr>
        <w:keepLines/>
        <w:widowControl/>
        <w:spacing w:before="120" w:after="80"/>
      </w:pPr>
      <w:r>
        <w:rPr>
          <w:rFonts w:ascii="Arial" w:hAnsi="Arial"/>
          <w:b/>
          <w:i w:val="0"/>
          <w:color w:val="17324D"/>
          <w:sz w:val="19"/>
        </w:rPr>
        <w:t xml:space="preserve">7. Support and availability. </w:t>
      </w:r>
      <w:r>
        <w:rPr>
          <w:rFonts w:ascii="Arial" w:hAnsi="Arial"/>
          <w:b w:val="0"/>
          <w:i w:val="0"/>
          <w:sz w:val="19"/>
        </w:rPr>
        <w:t>Provider will provide only the support expressly described in Schedule A. Schedule A also describes the Service’s current limitations and the service commitments that apply during the Pilot. Unless the Parties separately sign a service-level agreement, the Pilot does not include a guaranteed uptime percentage, response time, or production support commitment. Provider may perform maintenance or make changes reasonably necessary to operate the Service and will use reasonable efforts to notify Customer in advance of planned material interruptions when practicable.</w:t>
      </w:r>
    </w:p>
    <w:p>
      <w:pPr>
        <w:keepLines/>
        <w:widowControl/>
        <w:spacing w:before="120" w:after="80"/>
      </w:pPr>
      <w:r>
        <w:rPr>
          <w:rFonts w:ascii="Arial" w:hAnsi="Arial"/>
          <w:b/>
          <w:i w:val="0"/>
          <w:color w:val="17324D"/>
          <w:sz w:val="19"/>
        </w:rPr>
        <w:t xml:space="preserve">8. Customer Data and privacy. </w:t>
      </w:r>
      <w:r>
        <w:rPr>
          <w:rFonts w:ascii="Arial" w:hAnsi="Arial"/>
          <w:b w:val="0"/>
          <w:i w:val="0"/>
          <w:sz w:val="19"/>
        </w:rPr>
        <w:t>“Customer Data” means data or materials submitted to the Service by or for Customer, excluding Provider’s service telemetry that does not identify Customer or an individual. As between the Parties, Customer retains its rights in Customer Data. Customer grants Provider a limited right during the Pilot to host, copy, transmit, display, and otherwise process Customer Data only as necessary to provide, secure, support, and evaluate the Pilot, and as otherwise documented in writing. Customer will not submit sensitive, regulated, or personal data unless the Parties have first agreed in writing on the required safeguards and, where required, executed a data processing or similar agreement. Each Party will comply with the data protection and privacy laws applicable to its role and activities. Schedule C records the agreed data-handling choices, including access, location, and retention during the Pilot; it does not replace a legally required data processing agreement. Export, deletion, and retention of Customer Data after the Pilot are governed by Clause 16 and Schedule C.</w:t>
      </w:r>
    </w:p>
    <w:p>
      <w:pPr>
        <w:keepLines/>
        <w:widowControl/>
        <w:spacing w:before="120" w:after="80"/>
      </w:pPr>
      <w:r>
        <w:rPr>
          <w:rFonts w:ascii="Arial" w:hAnsi="Arial"/>
          <w:b/>
          <w:i w:val="0"/>
          <w:color w:val="17324D"/>
          <w:sz w:val="19"/>
        </w:rPr>
        <w:t xml:space="preserve">9. Security and access. </w:t>
      </w:r>
      <w:r>
        <w:rPr>
          <w:rFonts w:ascii="Arial" w:hAnsi="Arial"/>
          <w:b w:val="0"/>
          <w:i w:val="0"/>
          <w:sz w:val="19"/>
        </w:rPr>
        <w:t>Provider will apply the security measures specifically described in [SCHEDULE C / ATTACHED SECURITY SCHEDULE / WRITTEN SECURITY DOCUMENT]. Customer will protect its account credentials, restrict access to authorized users, and notify Provider promptly of suspected credential compromise. The Parties will notify each other without undue delay after becoming aware of a security incident affecting Customer Data or the Pilot, and will reasonably cooperate on investigation and remediation, subject to applicable law and any separate data processing agreement.</w:t>
      </w:r>
    </w:p>
    <w:p>
      <w:pPr>
        <w:keepLines/>
        <w:widowControl/>
        <w:spacing w:before="120" w:after="80"/>
      </w:pPr>
      <w:r>
        <w:rPr>
          <w:rFonts w:ascii="Arial" w:hAnsi="Arial"/>
          <w:b/>
          <w:i w:val="0"/>
          <w:color w:val="17324D"/>
          <w:sz w:val="19"/>
        </w:rPr>
        <w:t xml:space="preserve">10. Confidentiality. </w:t>
      </w:r>
      <w:r>
        <w:rPr>
          <w:rFonts w:ascii="Arial" w:hAnsi="Arial"/>
          <w:b w:val="0"/>
          <w:i w:val="0"/>
          <w:sz w:val="19"/>
        </w:rPr>
        <w:t>“Confidential Information” means non-public information disclosed by a Party that is marked confidential or should reasonably be understood to be confidential, including product plans, credentials, technical information, business information, pricing, and Customer Data. The receiving Party will use the disclosing Party’s Confidential Information only to perform or receive the Pilot, protect it using at least reasonable care, and disclose it only to personnel and advisers who need to know and are bound by confidentiality duties. These obligations do not apply to information the receiving Party can show is public without breach, already lawfully known, independently developed without use of the information, or lawfully received from a third party without a confidentiality duty. A receiving Party may disclose information when legally required, if legally permitted giving advance notice. These obligations continue for [NUMBER] years after disclosure; trade secrets remain protected for as long as they qualify as trade secrets under applicable law.</w:t>
      </w:r>
    </w:p>
    <w:p>
      <w:pPr>
        <w:keepLines/>
        <w:widowControl/>
        <w:spacing w:before="120" w:after="80"/>
      </w:pPr>
      <w:r>
        <w:rPr>
          <w:rFonts w:ascii="Arial" w:hAnsi="Arial"/>
          <w:b/>
          <w:i w:val="0"/>
          <w:color w:val="17324D"/>
          <w:sz w:val="19"/>
        </w:rPr>
        <w:t xml:space="preserve">11. Intellectual property and feedback. </w:t>
      </w:r>
      <w:r>
        <w:rPr>
          <w:rFonts w:ascii="Arial" w:hAnsi="Arial"/>
          <w:b w:val="0"/>
          <w:i w:val="0"/>
          <w:sz w:val="19"/>
        </w:rPr>
        <w:t>Each Party retains ownership of its pre-existing materials, software, tools, methods, and intellectual property (“Background IP”). Provider and its licensors retain all rights in the Service, its underlying technology, updates, and related documentation, excluding Customer Data and any rights expressly granted in this Agreement. Customer retains its rights in Customer Data and its own materials. No ownership transfers except as expressly stated in a signed writing. If Customer provides suggestions or feedback about the Service, Customer grants Provider a worldwide, non-exclusive, royalty-free right to use that feedback to improve and develop the Service, provided Provider does not disclose Customer’s Confidential Information or identify Customer in doing so. Any custom deliverables or work product are treated as follows: [SPECIFY OWNERSHIP AND LICENSE TERMS; IF NONE, WRITE “NO CUSTOM DELIVERABLES ARE INCLUDED”].</w:t>
      </w:r>
    </w:p>
    <w:p>
      <w:pPr>
        <w:keepLines/>
        <w:widowControl/>
        <w:spacing w:before="120" w:after="80"/>
      </w:pPr>
      <w:r>
        <w:rPr>
          <w:rFonts w:ascii="Arial" w:hAnsi="Arial"/>
          <w:b/>
          <w:i w:val="0"/>
          <w:color w:val="17324D"/>
          <w:sz w:val="19"/>
        </w:rPr>
        <w:t xml:space="preserve">12. Evaluation, results, and no purchase obligation. </w:t>
      </w:r>
      <w:r>
        <w:rPr>
          <w:rFonts w:ascii="Arial" w:hAnsi="Arial"/>
          <w:b w:val="0"/>
          <w:i w:val="0"/>
          <w:sz w:val="19"/>
        </w:rPr>
        <w:t>The Parties will review progress against the success criteria in Schedule B at [REVIEW DATE / MEETING CADENCE]. Unless expressly stated in Schedule A, Provider does not promise that the Service will meet a particular business outcome, revenue target, cost saving, or success criterion. At the end of the Pilot, the Parties may discuss a commercial subscription, but neither Party is required to enter into another agreement. Continued production use after the Pilot requires a separate written order or subscription agreement signed by both Parties.</w:t>
      </w:r>
    </w:p>
    <w:p>
      <w:pPr>
        <w:keepLines/>
        <w:widowControl/>
        <w:spacing w:before="120" w:after="80"/>
      </w:pPr>
      <w:r>
        <w:rPr>
          <w:rFonts w:ascii="Arial" w:hAnsi="Arial"/>
          <w:b/>
          <w:i w:val="0"/>
          <w:color w:val="17324D"/>
          <w:sz w:val="19"/>
        </w:rPr>
        <w:t xml:space="preserve">13. Warranties and disclaimer. </w:t>
      </w:r>
      <w:r>
        <w:rPr>
          <w:rFonts w:ascii="Arial" w:hAnsi="Arial"/>
          <w:b w:val="0"/>
          <w:i w:val="0"/>
          <w:sz w:val="19"/>
        </w:rPr>
        <w:t>Each Party represents that it has authority to enter into this Agreement. The Service is provided for evaluation during the Pilot. To the maximum extent permitted by applicable law, Provider disclaims implied warranties and conditions, including merchantability, fitness for a particular purpose, and non-infringement, except to the extent a warranty is expressly written in this Agreement or cannot lawfully be excluded. Customer is responsible for independently evaluating whether the Service is suitable for its intended use and will not use the Pilot as the sole basis for a safety-critical or other high-risk decision unless the Parties expressly agree to appropriate safeguards in writing.</w:t>
      </w:r>
    </w:p>
    <w:p>
      <w:pPr>
        <w:keepLines/>
        <w:widowControl/>
        <w:spacing w:before="120" w:after="80"/>
      </w:pPr>
      <w:r>
        <w:rPr>
          <w:rFonts w:ascii="Arial" w:hAnsi="Arial"/>
          <w:b/>
          <w:i w:val="0"/>
          <w:color w:val="17324D"/>
          <w:sz w:val="19"/>
        </w:rPr>
        <w:t xml:space="preserve">14. Liability limits. </w:t>
      </w:r>
      <w:r>
        <w:rPr>
          <w:rFonts w:ascii="Arial" w:hAnsi="Arial"/>
          <w:b w:val="0"/>
          <w:i w:val="0"/>
          <w:sz w:val="19"/>
        </w:rPr>
        <w:t>Nothing in this Agreement excludes or limits liability that cannot lawfully be excluded or limited. Subject to that rule, neither Party will be liable to the other for indirect, incidental, special, consequential, exemplary, or punitive loss, or for loss of profits, revenue, goodwill, or anticipated savings, arising out of the Pilot, even if advised of the possibility of such loss. Subject to the exclusions below, each Party’s total aggregate liability arising out of or relating to this Agreement will not exceed [AMOUNT OR MULTIPLE OF FEES PAID / PAYABLE UNDER THIS AGREEMENT]. The foregoing exclusions and cap do not apply to [SELECT AND CUSTOMIZE WITH COUNSEL: payment obligations; fraud or wilful misconduct; breach of confidentiality; infringement or misappropriation of IP; data protection/security obligations; indemnity obligations; or any other liabilities that applicable law does not permit the Parties to limit]. Delete or revise this list only after legal review; the appropriate carve-outs depend on the deal and governing law.</w:t>
      </w:r>
    </w:p>
    <w:p>
      <w:pPr>
        <w:keepLines/>
        <w:widowControl/>
        <w:spacing w:before="120" w:after="80"/>
      </w:pPr>
      <w:r>
        <w:rPr>
          <w:rFonts w:ascii="Arial" w:hAnsi="Arial"/>
          <w:b/>
          <w:i w:val="0"/>
          <w:color w:val="17324D"/>
          <w:sz w:val="19"/>
        </w:rPr>
        <w:t xml:space="preserve">15. Suspension and termination. </w:t>
      </w:r>
      <w:r>
        <w:rPr>
          <w:rFonts w:ascii="Arial" w:hAnsi="Arial"/>
          <w:b w:val="0"/>
          <w:i w:val="0"/>
          <w:sz w:val="19"/>
        </w:rPr>
        <w:t>Either Party may terminate this Agreement for convenience by giving [NUMBER] days’ written notice. Either Party may terminate immediately by written notice if the other Party materially breaches this Agreement and, where the breach can be cured, fails to cure it within [NUMBER] days after receiving written notice. Provider may suspend access where reasonably necessary to address a material security risk, unlawful use, or a serious threat to the Service; Provider will notify Customer where lawful and practicable and will limit the suspension to what is reasonably necessary.</w:t>
      </w:r>
    </w:p>
    <w:p>
      <w:pPr>
        <w:keepLines/>
        <w:widowControl/>
        <w:spacing w:before="120" w:after="80"/>
      </w:pPr>
      <w:r>
        <w:rPr>
          <w:rFonts w:ascii="Arial" w:hAnsi="Arial"/>
          <w:b/>
          <w:i w:val="0"/>
          <w:color w:val="17324D"/>
          <w:sz w:val="19"/>
        </w:rPr>
        <w:t xml:space="preserve">16. Effect of expiry or termination. </w:t>
      </w:r>
      <w:r>
        <w:rPr>
          <w:rFonts w:ascii="Arial" w:hAnsi="Arial"/>
          <w:b w:val="0"/>
          <w:i w:val="0"/>
          <w:sz w:val="19"/>
        </w:rPr>
        <w:t>On expiry or termination, Provider will end Customer’s access to the Service, and Customer will stop using the Service and ensure its users stop using it. Each Party will return or destroy the other Party’s Confidential Information upon written request, subject to lawful retention requirements and routine backup retention. Provider will make Customer Data available for export in [FORMAT] for [NUMBER] days after expiry or termination (the “Export Period”), if technically feasible and unless prohibited by law or a separate data processing agreement. Within [NUMBER] days after the Export Period, Provider will delete Customer Data and confirm the deletion in writing, except where retention is required by [APPLICABLE LAW OR LEGAL REASON]. Backup copies will be [DELETED WITHIN NUMBER DAYS / RETAINED ONLY UNTIL OVERWRITTEN IN THE NORMAL BACKUP CYCLE OF NUMBER DAYS] and will not be used for any other purpose. Any fees accrued before termination remain payable; any refund, if applicable, is governed by Clause 6. The following continue after expiry or termination: payment obligations that have already arisen, and Clauses [LIST SURVIVING CLAUSES, E.G., 8, 10, 11, 13, 14, 19]. [DRAFTING NOTE: which obligations and clauses survive depends on the deal and governing law; confirm this list with counsel before signing.]</w:t>
      </w:r>
    </w:p>
    <w:p>
      <w:pPr>
        <w:keepLines/>
        <w:widowControl/>
        <w:spacing w:before="120" w:after="80"/>
      </w:pPr>
      <w:r>
        <w:rPr>
          <w:rFonts w:ascii="Arial" w:hAnsi="Arial"/>
          <w:b/>
          <w:i w:val="0"/>
          <w:color w:val="17324D"/>
          <w:sz w:val="19"/>
        </w:rPr>
        <w:t xml:space="preserve">17. Publicity. </w:t>
      </w:r>
      <w:r>
        <w:rPr>
          <w:rFonts w:ascii="Arial" w:hAnsi="Arial"/>
          <w:b w:val="0"/>
          <w:i w:val="0"/>
          <w:sz w:val="19"/>
        </w:rPr>
        <w:t>Neither Party may use the other Party’s name, logo, or trademarks in a press release, customer list, case study, or public statement without the other Party’s prior written consent. The Parties may separately agree in writing to a case study or reference, including its approved wording and timing.</w:t>
      </w:r>
    </w:p>
    <w:p>
      <w:pPr>
        <w:keepLines/>
        <w:widowControl/>
        <w:spacing w:before="120" w:after="80"/>
      </w:pPr>
      <w:r>
        <w:rPr>
          <w:rFonts w:ascii="Arial" w:hAnsi="Arial"/>
          <w:b/>
          <w:i w:val="0"/>
          <w:color w:val="17324D"/>
          <w:sz w:val="19"/>
        </w:rPr>
        <w:t xml:space="preserve">18. General terms. </w:t>
      </w:r>
      <w:r>
        <w:rPr>
          <w:rFonts w:ascii="Arial" w:hAnsi="Arial"/>
          <w:b w:val="0"/>
          <w:i w:val="0"/>
          <w:sz w:val="19"/>
        </w:rPr>
        <w:t>The Parties are independent contractors; this Agreement does not create a partnership, joint venture, agency, or employment relationship. Neither Party may assign this Agreement without the other Party’s prior written consent, except to an affiliate or in connection with a merger, reorganization, or sale of substantially all relevant assets, provided the assignee can perform the assigning Party’s obligations and the assignment is lawful. This Agreement, including its schedules and any signed addenda, is the entire agreement concerning the Pilot and supersedes prior discussions on that subject. Changes must be in writing and signed by both Parties. If a provision is unenforceable, it will be adjusted to the minimum extent necessary and the remaining provisions will remain effective. Failure to enforce a provision is not a waiver. Notices must be sent to the addresses and email contacts in Schedule A or updated by written notice. This Agreement may be signed in counterparts and by electronic signature to the extent permitted by applicable law.</w:t>
      </w:r>
    </w:p>
    <w:p>
      <w:pPr>
        <w:keepLines/>
        <w:widowControl/>
        <w:spacing w:before="120" w:after="80"/>
      </w:pPr>
      <w:r>
        <w:rPr>
          <w:rFonts w:ascii="Arial" w:hAnsi="Arial"/>
          <w:b/>
          <w:i w:val="0"/>
          <w:color w:val="17324D"/>
          <w:sz w:val="19"/>
        </w:rPr>
        <w:t xml:space="preserve">19. Governing law and disputes. </w:t>
      </w:r>
      <w:r>
        <w:rPr>
          <w:rFonts w:ascii="Arial" w:hAnsi="Arial"/>
          <w:b w:val="0"/>
          <w:i w:val="0"/>
          <w:sz w:val="19"/>
        </w:rPr>
        <w:t>This Agreement is governed by the laws of [JURISDICTION], excluding its conflict-of-law rules to the extent appropriate. The courts located in [CITY / JURISDICTION] will have [EXCLUSIVE / NON-EXCLUSIVE] jurisdiction over disputes, subject to any mandatory law that applies. The Parties should have counsel confirm this clause is appropriate for the Parties, transaction, and relevant jurisdictions.</w:t>
      </w:r>
    </w:p>
    <w:p>
      <w:pPr>
        <w:pStyle w:val="Heading1"/>
        <w:widowControl/>
        <w:spacing w:before="240" w:after="100"/>
        <w:keepNext/>
      </w:pPr>
      <w:r>
        <w:rPr>
          <w:rFonts w:ascii="Arial" w:hAnsi="Arial"/>
          <w:b/>
          <w:i w:val="0"/>
          <w:color w:val="17324D"/>
          <w:sz w:val="30"/>
        </w:rPr>
        <w:t>Signatures</w:t>
      </w:r>
    </w:p>
    <w:p>
      <w:pPr>
        <w:widowControl/>
        <w:spacing w:after="140" w:before="0"/>
      </w:pPr>
      <w:r>
        <w:rPr>
          <w:rFonts w:ascii="Arial" w:hAnsi="Arial"/>
          <w:b w:val="0"/>
          <w:i w:val="0"/>
        </w:rPr>
        <w:t>The Parties have caused their authorized representatives to sign this Agreement as of the dates below.</w:t>
      </w:r>
    </w:p>
    <w:tbl>
      <w:tblPr>
        <w:tblW w:type="auto" w:w="0"/>
        <w:jc w:val="center"/>
        <w:tblLayout w:type="fixed"/>
        <w:tblLook w:firstColumn="1" w:firstRow="1" w:lastColumn="0" w:lastRow="0" w:noHBand="0" w:noVBand="1" w:val="04A0"/>
      </w:tblPr>
      <w:tblGrid>
        <w:gridCol w:w="4824"/>
        <w:gridCol w:w="4824"/>
      </w:tblGrid>
      <w:tr>
        <w:tc>
          <w:tcPr>
            <w:tcW w:type="dxa" w:w="4997"/>
            <w:shd w:fill="F3F6F8"/>
            <w:tcMar>
              <w:top w:w="90" w:type="dxa"/>
              <w:start w:w="150" w:type="dxa"/>
              <w:bottom w:w="90" w:type="dxa"/>
              <w:end w:w="150" w:type="dxa"/>
            </w:tcMar>
          </w:tcPr>
          <w:p>
            <w:pPr>
              <w:widowControl/>
              <w:spacing w:after="60"/>
            </w:pPr>
            <w:r>
              <w:rPr>
                <w:rFonts w:ascii="Arial" w:hAnsi="Arial"/>
                <w:b/>
                <w:i w:val="0"/>
                <w:color w:val="087E8B"/>
                <w:sz w:val="20"/>
              </w:rPr>
              <w:t>PROVIDER</w:t>
            </w:r>
          </w:p>
          <w:p>
            <w:pPr>
              <w:widowControl/>
              <w:spacing w:after="40"/>
            </w:pPr>
            <w:r>
              <w:rPr>
                <w:rFonts w:ascii="Arial" w:hAnsi="Arial"/>
                <w:b w:val="0"/>
                <w:i w:val="0"/>
                <w:sz w:val="18"/>
              </w:rPr>
              <w:t>Legal name: [PROVIDER LEGAL NAME]</w:t>
            </w:r>
          </w:p>
          <w:p>
            <w:pPr>
              <w:widowControl/>
              <w:spacing w:after="40"/>
            </w:pPr>
            <w:r>
              <w:rPr>
                <w:rFonts w:ascii="Arial" w:hAnsi="Arial"/>
                <w:b w:val="0"/>
                <w:i w:val="0"/>
                <w:sz w:val="18"/>
              </w:rPr>
              <w:t>By: ______________________________</w:t>
            </w:r>
          </w:p>
          <w:p>
            <w:pPr>
              <w:widowControl/>
              <w:spacing w:after="40"/>
            </w:pPr>
            <w:r>
              <w:rPr>
                <w:rFonts w:ascii="Arial" w:hAnsi="Arial"/>
                <w:b w:val="0"/>
                <w:i w:val="0"/>
                <w:sz w:val="18"/>
              </w:rPr>
              <w:t>Name: [NAME]</w:t>
            </w:r>
          </w:p>
          <w:p>
            <w:pPr>
              <w:widowControl/>
              <w:spacing w:after="40"/>
            </w:pPr>
            <w:r>
              <w:rPr>
                <w:rFonts w:ascii="Arial" w:hAnsi="Arial"/>
                <w:b w:val="0"/>
                <w:i w:val="0"/>
                <w:sz w:val="18"/>
              </w:rPr>
              <w:t>Title: [TITLE]</w:t>
            </w:r>
          </w:p>
          <w:p>
            <w:pPr>
              <w:widowControl/>
              <w:spacing w:after="40"/>
            </w:pPr>
            <w:r>
              <w:rPr>
                <w:rFonts w:ascii="Arial" w:hAnsi="Arial"/>
                <w:b w:val="0"/>
                <w:i w:val="0"/>
                <w:sz w:val="18"/>
              </w:rPr>
              <w:t>Date: [DATE]</w:t>
            </w:r>
          </w:p>
        </w:tc>
        <w:tc>
          <w:tcPr>
            <w:tcW w:type="dxa" w:w="4997"/>
            <w:shd w:fill="F3F6F8"/>
            <w:tcMar>
              <w:top w:w="90" w:type="dxa"/>
              <w:start w:w="150" w:type="dxa"/>
              <w:bottom w:w="90" w:type="dxa"/>
              <w:end w:w="150" w:type="dxa"/>
            </w:tcMar>
          </w:tcPr>
          <w:p>
            <w:pPr>
              <w:widowControl/>
              <w:spacing w:after="60"/>
            </w:pPr>
            <w:r>
              <w:rPr>
                <w:rFonts w:ascii="Arial" w:hAnsi="Arial"/>
                <w:b/>
                <w:i w:val="0"/>
                <w:color w:val="087E8B"/>
                <w:sz w:val="20"/>
              </w:rPr>
              <w:t>CUSTOMER</w:t>
            </w:r>
          </w:p>
          <w:p>
            <w:pPr>
              <w:widowControl/>
              <w:spacing w:after="40"/>
            </w:pPr>
            <w:r>
              <w:rPr>
                <w:rFonts w:ascii="Arial" w:hAnsi="Arial"/>
                <w:b w:val="0"/>
                <w:i w:val="0"/>
                <w:sz w:val="18"/>
              </w:rPr>
              <w:t>Legal name: [CUSTOMER LEGAL NAME]</w:t>
            </w:r>
          </w:p>
          <w:p>
            <w:pPr>
              <w:widowControl/>
              <w:spacing w:after="40"/>
            </w:pPr>
            <w:r>
              <w:rPr>
                <w:rFonts w:ascii="Arial" w:hAnsi="Arial"/>
                <w:b w:val="0"/>
                <w:i w:val="0"/>
                <w:sz w:val="18"/>
              </w:rPr>
              <w:t>By: ______________________________</w:t>
            </w:r>
          </w:p>
          <w:p>
            <w:pPr>
              <w:widowControl/>
              <w:spacing w:after="40"/>
            </w:pPr>
            <w:r>
              <w:rPr>
                <w:rFonts w:ascii="Arial" w:hAnsi="Arial"/>
                <w:b w:val="0"/>
                <w:i w:val="0"/>
                <w:sz w:val="18"/>
              </w:rPr>
              <w:t>Name: [NAME]</w:t>
            </w:r>
          </w:p>
          <w:p>
            <w:pPr>
              <w:widowControl/>
              <w:spacing w:after="40"/>
            </w:pPr>
            <w:r>
              <w:rPr>
                <w:rFonts w:ascii="Arial" w:hAnsi="Arial"/>
                <w:b w:val="0"/>
                <w:i w:val="0"/>
                <w:sz w:val="18"/>
              </w:rPr>
              <w:t>Title: [TITLE]</w:t>
            </w:r>
          </w:p>
          <w:p>
            <w:pPr>
              <w:widowControl/>
              <w:spacing w:after="40"/>
            </w:pPr>
            <w:r>
              <w:rPr>
                <w:rFonts w:ascii="Arial" w:hAnsi="Arial"/>
                <w:b w:val="0"/>
                <w:i w:val="0"/>
                <w:sz w:val="18"/>
              </w:rPr>
              <w:t>Date: [DATE]</w:t>
            </w:r>
          </w:p>
        </w:tc>
      </w:tr>
    </w:tbl>
    <w:p>
      <w:pPr>
        <w:widowControl/>
      </w:pPr>
      <w:r>
        <w:br w:type="page"/>
      </w:r>
    </w:p>
    <w:p>
      <w:pPr>
        <w:pStyle w:val="Heading1"/>
        <w:widowControl/>
        <w:spacing w:before="240" w:after="100"/>
        <w:keepNext/>
      </w:pPr>
      <w:r>
        <w:rPr>
          <w:rFonts w:ascii="Arial" w:hAnsi="Arial"/>
          <w:b/>
          <w:i w:val="0"/>
          <w:color w:val="17324D"/>
          <w:sz w:val="30"/>
        </w:rPr>
        <w:t>Schedule A — Pilot Scope and Commercial Details</w:t>
      </w:r>
    </w:p>
    <w:tbl>
      <w:tblPr>
        <w:tblW w:type="auto" w:w="0"/>
        <w:jc w:val="center"/>
        <w:tblLayout w:type="fixed"/>
        <w:tblLook w:firstColumn="1" w:firstRow="1" w:lastColumn="0" w:lastRow="0" w:noHBand="0" w:noVBand="1" w:val="04A0"/>
      </w:tblPr>
      <w:tblGrid>
        <w:gridCol w:w="9864"/>
      </w:tblGrid>
      <w:tr>
        <w:tc>
          <w:tcPr>
            <w:tcW w:type="dxa" w:w="9994"/>
            <w:shd w:fill="EAF4F5"/>
            <w:tcMar>
              <w:top w:w="130" w:type="dxa"/>
              <w:start w:w="160" w:type="dxa"/>
              <w:bottom w:w="130" w:type="dxa"/>
              <w:end w:w="160" w:type="dxa"/>
            </w:tcMar>
          </w:tcPr>
          <w:p>
            <w:pPr>
              <w:widowControl/>
              <w:spacing w:after="40"/>
            </w:pPr>
            <w:r>
              <w:rPr>
                <w:rFonts w:ascii="Arial" w:hAnsi="Arial"/>
                <w:b/>
                <w:i w:val="0"/>
                <w:color w:val="087E8B"/>
                <w:sz w:val="19"/>
              </w:rPr>
              <w:t>INSTRUCTIONS</w:t>
            </w:r>
          </w:p>
          <w:p>
            <w:pPr>
              <w:widowControl/>
              <w:spacing w:after="0"/>
            </w:pPr>
            <w:r>
              <w:rPr>
                <w:rFonts w:ascii="Arial" w:hAnsi="Arial"/>
                <w:b w:val="0"/>
                <w:i w:val="0"/>
                <w:color w:val="1F2933"/>
                <w:sz w:val="18"/>
              </w:rPr>
              <w:t>Complete this schedule carefully. It controls what is included in the Pilot. Be specific about deliverables, integrations, user limits, support, and anything excluded.</w:t>
            </w:r>
          </w:p>
        </w:tc>
      </w:tr>
    </w:tbl>
    <w:p>
      <w:pPr>
        <w:widowControl/>
        <w:spacing w:after="20"/>
      </w:pPr>
    </w:p>
    <w:tbl>
      <w:tblPr>
        <w:tblW w:type="auto" w:w="0"/>
        <w:jc w:val="center"/>
        <w:tblLayout w:type="fixed"/>
        <w:tblLook w:firstColumn="1" w:firstRow="1" w:lastColumn="0" w:lastRow="0" w:noHBand="0" w:noVBand="1" w:val="04A0"/>
      </w:tblPr>
      <w:tblGrid>
        <w:gridCol w:w="2880"/>
        <w:gridCol w:w="6984"/>
      </w:tblGrid>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Product / service</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[PRODUCT NAME AND SHORT DESCRIPTION]</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Pilot purpose</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[PROBLEM OR WORKFLOW THE PILOT WILL EVALUATE]</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Environment</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[SANDBOX / TEST / LIMITED PRODUCTION — DESCRIBE]</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Pilot period</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[START DATE] through [END DATE]</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Included users</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[NUMBER, ROLES, NAMED USERS OR TEAMS]</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Included locations</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[LOCATIONS / BUSINESS UNITS, IF ANY]</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Deliverables</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[LIST EACH DELIVERABLE AND TARGET DATE]</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Integrations</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[INCLUDED SYSTEMS AND LIMITS; OTHERWISE “NONE”]</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Implementation</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[CONFIGURATION / MIGRATION / TRAINING INCLUDED]</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Support</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[CHANNEL, HOURS, RESPONSE EXPECTATIONS; AVOID UNSUPPORTED SLA PROMISES]</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Limitations / commitments</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[CURRENT SERVICE LIMITATIONS AND ANY SERVICE COMMITMENTS DURING THE PILOT]</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Customer dependencies</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[DATA, ACCESS, STAFF, APPROVALS, TIMELY FEEDBACK]</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Out of scope</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[CUSTOM DEVELOPMENT, EXTRA USERS, MIGRATION, ON-SITE WORK, ETC.]</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Pilot fee</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[CURRENCY AND AMOUNT / “NO FEE”]</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Payment schedule</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[INVOICE DATE, MILESTONES, PAYMENT DUE DATE]</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Expenses / extra work</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[PRE-APPROVAL AND RATE / “NONE”]</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Primary contacts</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[PROVIDER CONTACT / CUSTOMER CONTACT AND EMAILS]</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Notices</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[NOTICE EMAILS AND POSTAL ADDRESSES]</w:t>
            </w:r>
          </w:p>
        </w:tc>
      </w:tr>
    </w:tbl>
    <w:p>
      <w:pPr>
        <w:widowControl/>
        <w:spacing w:after="20"/>
      </w:pPr>
    </w:p>
    <w:p>
      <w:pPr>
        <w:pStyle w:val="Heading2"/>
        <w:widowControl/>
        <w:spacing w:before="140" w:after="60"/>
        <w:keepNext/>
      </w:pPr>
      <w:r>
        <w:rPr>
          <w:rFonts w:ascii="Arial" w:hAnsi="Arial"/>
          <w:b/>
          <w:i w:val="0"/>
          <w:color w:val="087E8B"/>
          <w:sz w:val="23"/>
        </w:rPr>
        <w:t>Change request record</w:t>
      </w:r>
    </w:p>
    <w:p>
      <w:pPr>
        <w:widowControl/>
        <w:spacing w:after="80" w:before="0"/>
      </w:pPr>
      <w:r>
        <w:rPr>
          <w:rFonts w:ascii="Arial" w:hAnsi="Arial"/>
          <w:b w:val="0"/>
          <w:i w:val="0"/>
        </w:rPr>
        <w:t>No change to scope, fees, deliverables, or timing is effective unless the Parties approve it in writing. Use the following record or attach a signed change order:</w:t>
      </w:r>
    </w:p>
    <w:tbl>
      <w:tblPr>
        <w:tblW w:type="auto" w:w="0"/>
        <w:jc w:val="center"/>
        <w:tblLayout w:type="fixed"/>
        <w:tblLook w:firstColumn="1" w:firstRow="1" w:lastColumn="0" w:lastRow="0" w:noHBand="0" w:noVBand="1" w:val="04A0"/>
      </w:tblPr>
      <w:tblGrid>
        <w:gridCol w:w="2880"/>
        <w:gridCol w:w="6984"/>
      </w:tblGrid>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Requested change</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[DESCRIPTION]</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Reason / impact</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[REASON; IMPACT ON SCOPE, DELIVERY, DATA, OR RISK]</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Additional fee</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[AMOUNT OR NONE]</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Schedule impact</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[DATES / NONE]</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Approved by</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[NAMES, TITLES, DATES OR SIGNATURES]</w:t>
            </w:r>
          </w:p>
        </w:tc>
      </w:tr>
    </w:tbl>
    <w:p>
      <w:pPr>
        <w:widowControl/>
        <w:spacing w:after="20"/>
      </w:pPr>
    </w:p>
    <w:p>
      <w:pPr>
        <w:widowControl/>
      </w:pPr>
      <w:r>
        <w:br w:type="page"/>
      </w:r>
    </w:p>
    <w:p>
      <w:pPr>
        <w:pStyle w:val="Heading1"/>
        <w:widowControl/>
        <w:spacing w:before="240" w:after="100"/>
        <w:keepNext/>
      </w:pPr>
      <w:r>
        <w:rPr>
          <w:rFonts w:ascii="Arial" w:hAnsi="Arial"/>
          <w:b/>
          <w:i w:val="0"/>
          <w:color w:val="17324D"/>
          <w:sz w:val="30"/>
        </w:rPr>
        <w:t>Schedule B — Evaluation Plan and Success Criteria</w:t>
      </w:r>
    </w:p>
    <w:tbl>
      <w:tblPr>
        <w:tblW w:type="auto" w:w="0"/>
        <w:jc w:val="center"/>
        <w:tblLayout w:type="fixed"/>
        <w:tblLook w:firstColumn="1" w:firstRow="1" w:lastColumn="0" w:lastRow="0" w:noHBand="0" w:noVBand="1" w:val="04A0"/>
      </w:tblPr>
      <w:tblGrid>
        <w:gridCol w:w="9864"/>
      </w:tblGrid>
      <w:tr>
        <w:tc>
          <w:tcPr>
            <w:tcW w:type="dxa" w:w="9994"/>
            <w:shd w:fill="EAF4F5"/>
            <w:tcMar>
              <w:top w:w="130" w:type="dxa"/>
              <w:start w:w="160" w:type="dxa"/>
              <w:bottom w:w="130" w:type="dxa"/>
              <w:end w:w="160" w:type="dxa"/>
            </w:tcMar>
          </w:tcPr>
          <w:p>
            <w:pPr>
              <w:widowControl/>
              <w:spacing w:after="40"/>
            </w:pPr>
            <w:r>
              <w:rPr>
                <w:rFonts w:ascii="Arial" w:hAnsi="Arial"/>
                <w:b/>
                <w:i w:val="0"/>
                <w:color w:val="087E8B"/>
                <w:sz w:val="19"/>
              </w:rPr>
              <w:t>KEEP SUCCESS CRITERIA MEASURABLE</w:t>
            </w:r>
          </w:p>
          <w:p>
            <w:pPr>
              <w:widowControl/>
              <w:spacing w:after="0"/>
            </w:pPr>
            <w:r>
              <w:rPr>
                <w:rFonts w:ascii="Arial" w:hAnsi="Arial"/>
                <w:b w:val="0"/>
                <w:i w:val="0"/>
                <w:color w:val="1F2933"/>
                <w:sz w:val="18"/>
              </w:rPr>
              <w:t>Define how the Parties will evaluate the Pilot. Avoid implying a guaranteed result unless Provider expressly accepts that commitment in the signed Agreement.</w:t>
            </w:r>
          </w:p>
        </w:tc>
      </w:tr>
    </w:tbl>
    <w:p>
      <w:pPr>
        <w:widowControl/>
        <w:spacing w:after="20"/>
      </w:pPr>
    </w:p>
    <w:tbl>
      <w:tblPr>
        <w:tblW w:type="auto" w:w="0"/>
        <w:jc w:val="center"/>
        <w:tblLayout w:type="fixed"/>
        <w:tblLook w:firstColumn="1" w:firstRow="1" w:lastColumn="0" w:lastRow="0" w:noHBand="0" w:noVBand="1" w:val="04A0"/>
      </w:tblPr>
      <w:tblGrid>
        <w:gridCol w:w="2880"/>
        <w:gridCol w:w="6984"/>
      </w:tblGrid>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Baseline</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[CURRENT PROCESS, MEASURE OR STATE]</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Evaluation period</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[DATES OR NUMBER OF WEEKS]</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Success review date</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[DATE / MEETING]</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Review participants</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[NAMES / ROLES]</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Data used to evaluate</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[METRICS, SOURCE, OWNER, AND ANY DATA LIMITS]</w:t>
            </w:r>
          </w:p>
        </w:tc>
      </w:tr>
    </w:tbl>
    <w:p>
      <w:pPr>
        <w:widowControl/>
        <w:spacing w:after="20"/>
      </w:pPr>
    </w:p>
    <w:tbl>
      <w:tblPr>
        <w:tblW w:type="auto" w:w="0"/>
        <w:jc w:val="center"/>
        <w:tblLayout w:type="fixed"/>
        <w:tblLook w:firstColumn="1" w:firstRow="1" w:lastColumn="0" w:lastRow="0" w:noHBand="0" w:noVBand="1" w:val="04A0"/>
      </w:tblPr>
      <w:tblGrid>
        <w:gridCol w:w="2498"/>
        <w:gridCol w:w="2498"/>
        <w:gridCol w:w="2498"/>
        <w:gridCol w:w="2498"/>
      </w:tblGrid>
      <w:tr>
        <w:trPr>
          <w:tblHeader w:val="true"/>
        </w:trPr>
        <w:tc>
          <w:tcPr>
            <w:tcW w:type="dxa" w:w="2088"/>
            <w:shd w:fill="17324D"/>
            <w:tcMar>
              <w:top w:w="100" w:type="dxa"/>
              <w:start w:w="80" w:type="dxa"/>
              <w:bottom w:w="100" w:type="dxa"/>
              <w:end w:w="80" w:type="dxa"/>
            </w:tcMar>
          </w:tcPr>
          <w:p>
            <w:pPr>
              <w:widowControl/>
              <w:spacing w:after="0"/>
            </w:pPr>
            <w:r>
              <w:rPr>
                <w:rFonts w:ascii="Arial" w:hAnsi="Arial"/>
                <w:b/>
                <w:i w:val="0"/>
                <w:color w:val="FFFFFF"/>
                <w:sz w:val="16"/>
              </w:rPr>
              <w:t>Measure / objective</w:t>
            </w:r>
          </w:p>
        </w:tc>
        <w:tc>
          <w:tcPr>
            <w:tcW w:type="dxa" w:w="2448"/>
            <w:shd w:fill="17324D"/>
            <w:tcMar>
              <w:top w:w="100" w:type="dxa"/>
              <w:start w:w="80" w:type="dxa"/>
              <w:bottom w:w="100" w:type="dxa"/>
              <w:end w:w="80" w:type="dxa"/>
            </w:tcMar>
          </w:tcPr>
          <w:p>
            <w:pPr>
              <w:widowControl/>
              <w:spacing w:after="0"/>
            </w:pPr>
            <w:r>
              <w:rPr>
                <w:rFonts w:ascii="Arial" w:hAnsi="Arial"/>
                <w:b/>
                <w:i w:val="0"/>
                <w:color w:val="FFFFFF"/>
                <w:sz w:val="16"/>
              </w:rPr>
              <w:t>Target or threshold</w:t>
            </w:r>
          </w:p>
        </w:tc>
        <w:tc>
          <w:tcPr>
            <w:tcW w:type="dxa" w:w="2520"/>
            <w:shd w:fill="17324D"/>
            <w:tcMar>
              <w:top w:w="100" w:type="dxa"/>
              <w:start w:w="80" w:type="dxa"/>
              <w:bottom w:w="100" w:type="dxa"/>
              <w:end w:w="80" w:type="dxa"/>
            </w:tcMar>
          </w:tcPr>
          <w:p>
            <w:pPr>
              <w:widowControl/>
              <w:spacing w:after="0"/>
            </w:pPr>
            <w:r>
              <w:rPr>
                <w:rFonts w:ascii="Arial" w:hAnsi="Arial"/>
                <w:b/>
                <w:i w:val="0"/>
                <w:color w:val="FFFFFF"/>
                <w:sz w:val="16"/>
              </w:rPr>
              <w:t>Evidence / method</w:t>
            </w:r>
          </w:p>
        </w:tc>
        <w:tc>
          <w:tcPr>
            <w:tcW w:type="dxa" w:w="2520"/>
            <w:shd w:fill="17324D"/>
            <w:tcMar>
              <w:top w:w="100" w:type="dxa"/>
              <w:start w:w="80" w:type="dxa"/>
              <w:bottom w:w="100" w:type="dxa"/>
              <w:end w:w="80" w:type="dxa"/>
            </w:tcMar>
          </w:tcPr>
          <w:p>
            <w:pPr>
              <w:widowControl/>
              <w:spacing w:after="0"/>
            </w:pPr>
            <w:r>
              <w:rPr>
                <w:rFonts w:ascii="Arial" w:hAnsi="Arial"/>
                <w:b/>
                <w:i w:val="0"/>
                <w:color w:val="FFFFFF"/>
                <w:sz w:val="16"/>
              </w:rPr>
              <w:t>Owner / review date</w:t>
            </w:r>
          </w:p>
        </w:tc>
      </w:tr>
      <w:tr>
        <w:tc>
          <w:tcPr>
            <w:tcW w:type="dxa" w:w="2088"/>
            <w:tcMar>
              <w:top w:w="120" w:type="dxa"/>
              <w:start w:w="80" w:type="dxa"/>
              <w:bottom w:w="120" w:type="dxa"/>
              <w:end w:w="80" w:type="dxa"/>
            </w:tcMar>
          </w:tcPr>
          <w:p>
            <w:pPr>
              <w:widowControl/>
              <w:spacing w:after="0"/>
            </w:pPr>
            <w:r>
              <w:rPr>
                <w:rFonts w:ascii="Arial" w:hAnsi="Arial"/>
                <w:b w:val="0"/>
                <w:i w:val="0"/>
                <w:sz w:val="16"/>
              </w:rPr>
              <w:t>[OBJECTIVE 1]</w:t>
            </w:r>
          </w:p>
        </w:tc>
        <w:tc>
          <w:tcPr>
            <w:tcW w:type="dxa" w:w="2448"/>
            <w:tcMar>
              <w:top w:w="120" w:type="dxa"/>
              <w:start w:w="80" w:type="dxa"/>
              <w:bottom w:w="120" w:type="dxa"/>
              <w:end w:w="80" w:type="dxa"/>
            </w:tcMar>
          </w:tcPr>
          <w:p>
            <w:pPr>
              <w:widowControl/>
              <w:spacing w:after="0"/>
            </w:pPr>
            <w:r>
              <w:rPr>
                <w:rFonts w:ascii="Arial" w:hAnsi="Arial"/>
                <w:b w:val="0"/>
                <w:i w:val="0"/>
                <w:sz w:val="16"/>
              </w:rPr>
              <w:t>[TARGET]</w:t>
            </w:r>
          </w:p>
        </w:tc>
        <w:tc>
          <w:tcPr>
            <w:tcW w:type="dxa" w:w="2520"/>
            <w:tcMar>
              <w:top w:w="120" w:type="dxa"/>
              <w:start w:w="80" w:type="dxa"/>
              <w:bottom w:w="120" w:type="dxa"/>
              <w:end w:w="80" w:type="dxa"/>
            </w:tcMar>
          </w:tcPr>
          <w:p>
            <w:pPr>
              <w:widowControl/>
              <w:spacing w:after="0"/>
            </w:pPr>
            <w:r>
              <w:rPr>
                <w:rFonts w:ascii="Arial" w:hAnsi="Arial"/>
                <w:b w:val="0"/>
                <w:i w:val="0"/>
                <w:sz w:val="16"/>
              </w:rPr>
              <w:t>[HOW MEASURED]</w:t>
            </w:r>
          </w:p>
        </w:tc>
        <w:tc>
          <w:tcPr>
            <w:tcW w:type="dxa" w:w="2520"/>
            <w:tcMar>
              <w:top w:w="120" w:type="dxa"/>
              <w:start w:w="80" w:type="dxa"/>
              <w:bottom w:w="120" w:type="dxa"/>
              <w:end w:w="80" w:type="dxa"/>
            </w:tcMar>
          </w:tcPr>
          <w:p>
            <w:pPr>
              <w:widowControl/>
              <w:spacing w:after="0"/>
            </w:pPr>
            <w:r>
              <w:rPr>
                <w:rFonts w:ascii="Arial" w:hAnsi="Arial"/>
                <w:b w:val="0"/>
                <w:i w:val="0"/>
                <w:sz w:val="16"/>
              </w:rPr>
              <w:t>[OWNER / DATE]</w:t>
            </w:r>
          </w:p>
        </w:tc>
      </w:tr>
      <w:tr>
        <w:tc>
          <w:tcPr>
            <w:tcW w:type="dxa" w:w="2088"/>
            <w:tcMar>
              <w:top w:w="120" w:type="dxa"/>
              <w:start w:w="80" w:type="dxa"/>
              <w:bottom w:w="120" w:type="dxa"/>
              <w:end w:w="80" w:type="dxa"/>
            </w:tcMar>
          </w:tcPr>
          <w:p>
            <w:pPr>
              <w:widowControl/>
              <w:spacing w:after="0"/>
            </w:pPr>
            <w:r>
              <w:rPr>
                <w:rFonts w:ascii="Arial" w:hAnsi="Arial"/>
                <w:b w:val="0"/>
                <w:i w:val="0"/>
                <w:sz w:val="16"/>
              </w:rPr>
              <w:t>[OBJECTIVE 2]</w:t>
            </w:r>
          </w:p>
        </w:tc>
        <w:tc>
          <w:tcPr>
            <w:tcW w:type="dxa" w:w="2448"/>
            <w:tcMar>
              <w:top w:w="120" w:type="dxa"/>
              <w:start w:w="80" w:type="dxa"/>
              <w:bottom w:w="120" w:type="dxa"/>
              <w:end w:w="80" w:type="dxa"/>
            </w:tcMar>
          </w:tcPr>
          <w:p>
            <w:pPr>
              <w:widowControl/>
              <w:spacing w:after="0"/>
            </w:pPr>
            <w:r>
              <w:rPr>
                <w:rFonts w:ascii="Arial" w:hAnsi="Arial"/>
                <w:b w:val="0"/>
                <w:i w:val="0"/>
                <w:sz w:val="16"/>
              </w:rPr>
              <w:t>[TARGET]</w:t>
            </w:r>
          </w:p>
        </w:tc>
        <w:tc>
          <w:tcPr>
            <w:tcW w:type="dxa" w:w="2520"/>
            <w:tcMar>
              <w:top w:w="120" w:type="dxa"/>
              <w:start w:w="80" w:type="dxa"/>
              <w:bottom w:w="120" w:type="dxa"/>
              <w:end w:w="80" w:type="dxa"/>
            </w:tcMar>
          </w:tcPr>
          <w:p>
            <w:pPr>
              <w:widowControl/>
              <w:spacing w:after="0"/>
            </w:pPr>
            <w:r>
              <w:rPr>
                <w:rFonts w:ascii="Arial" w:hAnsi="Arial"/>
                <w:b w:val="0"/>
                <w:i w:val="0"/>
                <w:sz w:val="16"/>
              </w:rPr>
              <w:t>[HOW MEASURED]</w:t>
            </w:r>
          </w:p>
        </w:tc>
        <w:tc>
          <w:tcPr>
            <w:tcW w:type="dxa" w:w="2520"/>
            <w:tcMar>
              <w:top w:w="120" w:type="dxa"/>
              <w:start w:w="80" w:type="dxa"/>
              <w:bottom w:w="120" w:type="dxa"/>
              <w:end w:w="80" w:type="dxa"/>
            </w:tcMar>
          </w:tcPr>
          <w:p>
            <w:pPr>
              <w:widowControl/>
              <w:spacing w:after="0"/>
            </w:pPr>
            <w:r>
              <w:rPr>
                <w:rFonts w:ascii="Arial" w:hAnsi="Arial"/>
                <w:b w:val="0"/>
                <w:i w:val="0"/>
                <w:sz w:val="16"/>
              </w:rPr>
              <w:t>[OWNER / DATE]</w:t>
            </w:r>
          </w:p>
        </w:tc>
      </w:tr>
      <w:tr>
        <w:tc>
          <w:tcPr>
            <w:tcW w:type="dxa" w:w="2088"/>
            <w:tcMar>
              <w:top w:w="120" w:type="dxa"/>
              <w:start w:w="80" w:type="dxa"/>
              <w:bottom w:w="120" w:type="dxa"/>
              <w:end w:w="80" w:type="dxa"/>
            </w:tcMar>
          </w:tcPr>
          <w:p>
            <w:pPr>
              <w:widowControl/>
              <w:spacing w:after="0"/>
            </w:pPr>
            <w:r>
              <w:rPr>
                <w:rFonts w:ascii="Arial" w:hAnsi="Arial"/>
                <w:b w:val="0"/>
                <w:i w:val="0"/>
                <w:sz w:val="16"/>
              </w:rPr>
              <w:t>[OBJECTIVE 3]</w:t>
            </w:r>
          </w:p>
        </w:tc>
        <w:tc>
          <w:tcPr>
            <w:tcW w:type="dxa" w:w="2448"/>
            <w:tcMar>
              <w:top w:w="120" w:type="dxa"/>
              <w:start w:w="80" w:type="dxa"/>
              <w:bottom w:w="120" w:type="dxa"/>
              <w:end w:w="80" w:type="dxa"/>
            </w:tcMar>
          </w:tcPr>
          <w:p>
            <w:pPr>
              <w:widowControl/>
              <w:spacing w:after="0"/>
            </w:pPr>
            <w:r>
              <w:rPr>
                <w:rFonts w:ascii="Arial" w:hAnsi="Arial"/>
                <w:b w:val="0"/>
                <w:i w:val="0"/>
                <w:sz w:val="16"/>
              </w:rPr>
              <w:t>[TARGET]</w:t>
            </w:r>
          </w:p>
        </w:tc>
        <w:tc>
          <w:tcPr>
            <w:tcW w:type="dxa" w:w="2520"/>
            <w:tcMar>
              <w:top w:w="120" w:type="dxa"/>
              <w:start w:w="80" w:type="dxa"/>
              <w:bottom w:w="120" w:type="dxa"/>
              <w:end w:w="80" w:type="dxa"/>
            </w:tcMar>
          </w:tcPr>
          <w:p>
            <w:pPr>
              <w:widowControl/>
              <w:spacing w:after="0"/>
            </w:pPr>
            <w:r>
              <w:rPr>
                <w:rFonts w:ascii="Arial" w:hAnsi="Arial"/>
                <w:b w:val="0"/>
                <w:i w:val="0"/>
                <w:sz w:val="16"/>
              </w:rPr>
              <w:t>[HOW MEASURED]</w:t>
            </w:r>
          </w:p>
        </w:tc>
        <w:tc>
          <w:tcPr>
            <w:tcW w:type="dxa" w:w="2520"/>
            <w:tcMar>
              <w:top w:w="120" w:type="dxa"/>
              <w:start w:w="80" w:type="dxa"/>
              <w:bottom w:w="120" w:type="dxa"/>
              <w:end w:w="80" w:type="dxa"/>
            </w:tcMar>
          </w:tcPr>
          <w:p>
            <w:pPr>
              <w:widowControl/>
              <w:spacing w:after="0"/>
            </w:pPr>
            <w:r>
              <w:rPr>
                <w:rFonts w:ascii="Arial" w:hAnsi="Arial"/>
                <w:b w:val="0"/>
                <w:i w:val="0"/>
                <w:sz w:val="16"/>
              </w:rPr>
              <w:t>[OWNER / DATE]</w:t>
            </w:r>
          </w:p>
        </w:tc>
      </w:tr>
    </w:tbl>
    <w:p>
      <w:pPr>
        <w:pStyle w:val="Heading2"/>
        <w:widowControl/>
        <w:spacing w:before="140" w:after="60"/>
        <w:keepNext/>
      </w:pPr>
      <w:r>
        <w:rPr>
          <w:rFonts w:ascii="Arial" w:hAnsi="Arial"/>
          <w:b/>
          <w:i w:val="0"/>
          <w:color w:val="087E8B"/>
          <w:sz w:val="23"/>
        </w:rPr>
        <w:t>Evaluation and next-step process</w:t>
      </w:r>
    </w:p>
    <w:p>
      <w:pPr>
        <w:pStyle w:val="ListBullet"/>
        <w:widowControl/>
        <w:spacing w:after="40"/>
      </w:pPr>
      <w:r>
        <w:rPr>
          <w:rFonts w:ascii="Arial" w:hAnsi="Arial"/>
          <w:b w:val="0"/>
          <w:i w:val="0"/>
          <w:sz w:val="19"/>
        </w:rPr>
        <w:t>Provider will supply the agreed summary or demonstration by [DATE], if applicable.</w:t>
      </w:r>
    </w:p>
    <w:p>
      <w:pPr>
        <w:pStyle w:val="ListBullet"/>
        <w:widowControl/>
        <w:spacing w:after="40"/>
      </w:pPr>
      <w:r>
        <w:rPr>
          <w:rFonts w:ascii="Arial" w:hAnsi="Arial"/>
          <w:b w:val="0"/>
          <w:i w:val="0"/>
          <w:sz w:val="19"/>
        </w:rPr>
        <w:t>Customer will provide feedback or acceptance comments within [NUMBER] business days after receiving the agreed deliverable.</w:t>
      </w:r>
    </w:p>
    <w:p>
      <w:pPr>
        <w:pStyle w:val="ListBullet"/>
        <w:widowControl/>
        <w:spacing w:after="40"/>
      </w:pPr>
      <w:r>
        <w:rPr>
          <w:rFonts w:ascii="Arial" w:hAnsi="Arial"/>
          <w:b w:val="0"/>
          <w:i w:val="0"/>
          <w:sz w:val="19"/>
        </w:rPr>
        <w:t>The Parties will hold a review on [DATE] to discuss results and possible next steps.</w:t>
      </w:r>
    </w:p>
    <w:p>
      <w:pPr>
        <w:pStyle w:val="ListBullet"/>
        <w:widowControl/>
        <w:spacing w:after="40"/>
      </w:pPr>
      <w:r>
        <w:rPr>
          <w:rFonts w:ascii="Arial" w:hAnsi="Arial"/>
          <w:b w:val="0"/>
          <w:i w:val="0"/>
          <w:sz w:val="19"/>
        </w:rPr>
        <w:t>Any extension or paid subscription must be documented separately in writing; no automatic renewal or purchase obligation applies unless expressly agreed in a signed document.</w:t>
      </w:r>
    </w:p>
    <w:p>
      <w:pPr>
        <w:widowControl/>
      </w:pPr>
      <w:r>
        <w:br w:type="page"/>
      </w:r>
    </w:p>
    <w:p>
      <w:pPr>
        <w:pStyle w:val="Heading1"/>
        <w:widowControl/>
        <w:spacing w:before="240" w:after="100"/>
        <w:keepNext/>
      </w:pPr>
      <w:r>
        <w:rPr>
          <w:rFonts w:ascii="Arial" w:hAnsi="Arial"/>
          <w:b/>
          <w:i w:val="0"/>
          <w:color w:val="17324D"/>
          <w:sz w:val="30"/>
        </w:rPr>
        <w:t>Schedule C — Data and Security Planning Checklist</w:t>
      </w:r>
    </w:p>
    <w:tbl>
      <w:tblPr>
        <w:tblW w:type="auto" w:w="0"/>
        <w:jc w:val="center"/>
        <w:tblLayout w:type="fixed"/>
        <w:tblLook w:firstColumn="1" w:firstRow="1" w:lastColumn="0" w:lastRow="0" w:noHBand="0" w:noVBand="1" w:val="04A0"/>
      </w:tblPr>
      <w:tblGrid>
        <w:gridCol w:w="9864"/>
      </w:tblGrid>
      <w:tr>
        <w:tc>
          <w:tcPr>
            <w:tcW w:type="dxa" w:w="9994"/>
            <w:shd w:fill="EAF4F5"/>
            <w:tcMar>
              <w:top w:w="130" w:type="dxa"/>
              <w:start w:w="160" w:type="dxa"/>
              <w:bottom w:w="130" w:type="dxa"/>
              <w:end w:w="160" w:type="dxa"/>
            </w:tcMar>
          </w:tcPr>
          <w:p>
            <w:pPr>
              <w:widowControl/>
              <w:spacing w:after="40"/>
            </w:pPr>
            <w:r>
              <w:rPr>
                <w:rFonts w:ascii="Arial" w:hAnsi="Arial"/>
                <w:b/>
                <w:i w:val="0"/>
                <w:color w:val="087E8B"/>
                <w:sz w:val="19"/>
              </w:rPr>
              <w:t>DO NOT USE THIS CHECKLIST AS A SUBSTITUTE FOR A REQUIRED DATA PROCESSING AGREEMENT</w:t>
            </w:r>
          </w:p>
          <w:p>
            <w:pPr>
              <w:widowControl/>
              <w:spacing w:after="0"/>
            </w:pPr>
            <w:r>
              <w:rPr>
                <w:rFonts w:ascii="Arial" w:hAnsi="Arial"/>
                <w:b w:val="0"/>
                <w:i w:val="0"/>
                <w:color w:val="1F2933"/>
                <w:sz w:val="18"/>
              </w:rPr>
              <w:t>If Provider processes personal data on Customer’s behalf, or the Pilot involves regulated, sensitive, or cross-border data, get legal and security review and execute any required data processing/security addendum before transferring data.</w:t>
            </w:r>
          </w:p>
        </w:tc>
      </w:tr>
    </w:tbl>
    <w:p>
      <w:pPr>
        <w:widowControl/>
        <w:spacing w:after="20"/>
      </w:pPr>
    </w:p>
    <w:tbl>
      <w:tblPr>
        <w:tblW w:type="auto" w:w="0"/>
        <w:jc w:val="center"/>
        <w:tblLayout w:type="fixed"/>
        <w:tblLook w:firstColumn="1" w:firstRow="1" w:lastColumn="0" w:lastRow="0" w:noHBand="0" w:noVBand="1" w:val="04A0"/>
      </w:tblPr>
      <w:tblGrid>
        <w:gridCol w:w="2880"/>
        <w:gridCol w:w="6984"/>
      </w:tblGrid>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Data categories</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[E.G., BUSINESS CONTACTS, USAGE DATA, NO PERSONAL DATA]</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Prohibited data</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[SENSITIVE / REGULATED DATA THAT MUST NOT BE UPLOADED]</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Data location</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[WHERE DATA IS HOSTED / PROCESSED, IF KNOWN]</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Authorized access</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[ROLES / USERS / PROVIDER SUPPORT ACCESS]</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Retention during Pilot</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[HOW LONG DATA IS KEPT DURING THE PILOT, E.G., FOR THE PILOT TERM]</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Security materials</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[LINK OR NAME OF SECURITY DOCUMENT / “NOT PROVIDED”]</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Incident contact</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[NAME, ROLE, EMAIL, ESCALATION METHOD]</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Export period</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[NUMBER OF DAYS AFTER PILOT END AND EXPORT FORMAT]</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Deletion timing</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[NUMBER OF DAYS AFTER THE EXPORT PERIOD; WRITTEN CONFIRMATION OF DELETION]</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Backup copies</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[DELETION WINDOW OR NORMAL BACKUP CYCLE; NO OTHER USE]</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Legal retention exceptions</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[LAW OR LEGAL REASON REQUIRING RETENTION / "NONE"]</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Subprocessors</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[LIST / LINK / “NONE” / FURTHER DETAILS]</w:t>
            </w:r>
          </w:p>
        </w:tc>
      </w:tr>
      <w:tr>
        <w:tc>
          <w:tcPr>
            <w:tcW w:type="dxa" w:w="2880"/>
            <w:shd w:fill="F3F6F8"/>
            <w:tcMar>
              <w:top w:w="95" w:type="dxa"/>
              <w:start w:w="120" w:type="dxa"/>
              <w:bottom w:w="95" w:type="dxa"/>
              <w:end w:w="120" w:type="dxa"/>
            </w:tcMar>
            <w:vAlign w:val="center"/>
          </w:tcPr>
          <w:p>
            <w:pPr>
              <w:widowControl/>
              <w:spacing w:after="0"/>
            </w:pPr>
            <w:r>
              <w:rPr>
                <w:rFonts w:ascii="Arial" w:hAnsi="Arial"/>
                <w:b/>
                <w:i w:val="0"/>
                <w:color w:val="17324D"/>
                <w:sz w:val="17"/>
              </w:rPr>
              <w:t>Separate DPA required?</w:t>
            </w:r>
          </w:p>
        </w:tc>
        <w:tc>
          <w:tcPr>
            <w:tcW w:type="dxa" w:w="6984"/>
            <w:tcMar>
              <w:top w:w="95" w:type="dxa"/>
              <w:start w:w="120" w:type="dxa"/>
              <w:bottom w:w="95" w:type="dxa"/>
              <w:end w:w="120" w:type="dxa"/>
            </w:tcMar>
            <w:vAlign w:val="center"/>
          </w:tcPr>
          <w:p>
            <w:pPr>
              <w:widowControl/>
              <w:spacing w:after="0"/>
            </w:pPr>
            <w:r>
              <w:rPr>
                <w:rFonts w:ascii="Arial" w:hAnsi="Arial"/>
                <w:b w:val="0"/>
                <w:i w:val="0"/>
                <w:sz w:val="17"/>
              </w:rPr>
              <w:t>[YES / NO — CONFIRM WITH COUNSEL]</w:t>
            </w:r>
          </w:p>
        </w:tc>
      </w:tr>
    </w:tbl>
    <w:p>
      <w:pPr>
        <w:widowControl/>
        <w:spacing w:after="20"/>
      </w:pPr>
    </w:p>
    <w:p>
      <w:pPr>
        <w:pStyle w:val="Heading2"/>
        <w:widowControl/>
        <w:spacing w:before="140" w:after="60"/>
        <w:keepNext/>
      </w:pPr>
      <w:r>
        <w:rPr>
          <w:rFonts w:ascii="Arial" w:hAnsi="Arial"/>
          <w:b/>
          <w:i w:val="0"/>
          <w:color w:val="087E8B"/>
          <w:sz w:val="23"/>
        </w:rPr>
        <w:t>Before enabling customer data</w:t>
      </w:r>
    </w:p>
    <w:p>
      <w:pPr>
        <w:widowControl/>
        <w:spacing w:after="60"/>
        <w:ind w:left="259" w:hanging="259"/>
      </w:pPr>
      <w:r>
        <w:rPr>
          <w:rFonts w:ascii="Arial" w:hAnsi="Arial"/>
          <w:b w:val="0"/>
          <w:i w:val="0"/>
          <w:sz w:val="19"/>
        </w:rPr>
        <w:t>☐  Confirm that Customer has the legal rights and permissions to provide the data.</w:t>
      </w:r>
    </w:p>
    <w:p>
      <w:pPr>
        <w:widowControl/>
        <w:spacing w:after="60"/>
        <w:ind w:left="259" w:hanging="259"/>
      </w:pPr>
      <w:r>
        <w:rPr>
          <w:rFonts w:ascii="Arial" w:hAnsi="Arial"/>
          <w:b w:val="0"/>
          <w:i w:val="0"/>
          <w:sz w:val="19"/>
        </w:rPr>
        <w:t>☐  Minimize data to what is needed for the Pilot; use synthetic or de-identified data where appropriate.</w:t>
      </w:r>
    </w:p>
    <w:p>
      <w:pPr>
        <w:widowControl/>
        <w:spacing w:after="60"/>
        <w:ind w:left="259" w:hanging="259"/>
      </w:pPr>
      <w:r>
        <w:rPr>
          <w:rFonts w:ascii="Arial" w:hAnsi="Arial"/>
          <w:b w:val="0"/>
          <w:i w:val="0"/>
          <w:sz w:val="19"/>
        </w:rPr>
        <w:t>☐  Agree on access controls, support access, retention, export, deletion, and incident contacts.</w:t>
      </w:r>
    </w:p>
    <w:p>
      <w:pPr>
        <w:widowControl/>
        <w:spacing w:after="60"/>
        <w:ind w:left="259" w:hanging="259"/>
      </w:pPr>
      <w:r>
        <w:rPr>
          <w:rFonts w:ascii="Arial" w:hAnsi="Arial"/>
          <w:b w:val="0"/>
          <w:i w:val="0"/>
          <w:sz w:val="19"/>
        </w:rPr>
        <w:t>☐  Confirm whether a data processing agreement or additional security schedule is required.</w:t>
      </w:r>
    </w:p>
    <w:p>
      <w:pPr>
        <w:widowControl/>
        <w:spacing w:after="60"/>
        <w:ind w:left="259" w:hanging="259"/>
      </w:pPr>
      <w:r>
        <w:rPr>
          <w:rFonts w:ascii="Arial" w:hAnsi="Arial"/>
          <w:b w:val="0"/>
          <w:i w:val="0"/>
          <w:sz w:val="19"/>
        </w:rPr>
        <w:t>☐  Do not upload payment-card data, health data, government identifiers, or other sensitive categories unless expressly approved and properly safeguarded.</w:t>
      </w:r>
    </w:p>
    <w:p>
      <w:pPr>
        <w:pStyle w:val="Heading1"/>
        <w:widowControl/>
        <w:spacing w:before="240" w:after="100"/>
        <w:keepNext/>
      </w:pPr>
      <w:r>
        <w:rPr>
          <w:rFonts w:ascii="Arial" w:hAnsi="Arial"/>
          <w:b/>
          <w:i w:val="0"/>
          <w:color w:val="17324D"/>
          <w:sz w:val="30"/>
        </w:rPr>
        <w:t>Pre-signing checklist</w:t>
      </w:r>
    </w:p>
    <w:p>
      <w:pPr>
        <w:widowControl/>
        <w:spacing w:after="60"/>
        <w:ind w:left="259" w:hanging="259"/>
      </w:pPr>
      <w:r>
        <w:rPr>
          <w:rFonts w:ascii="Arial" w:hAnsi="Arial"/>
          <w:b w:val="0"/>
          <w:i w:val="0"/>
          <w:sz w:val="19"/>
        </w:rPr>
        <w:t>☐  All [BRACKETED FIELDS] are completed or intentionally removed.</w:t>
      </w:r>
    </w:p>
    <w:p>
      <w:pPr>
        <w:widowControl/>
        <w:spacing w:after="60"/>
        <w:ind w:left="259" w:hanging="259"/>
      </w:pPr>
      <w:r>
        <w:rPr>
          <w:rFonts w:ascii="Arial" w:hAnsi="Arial"/>
          <w:b w:val="0"/>
          <w:i w:val="0"/>
          <w:sz w:val="19"/>
        </w:rPr>
        <w:t>☐  Only one fee option (paid or free) remains in Clause 6.</w:t>
      </w:r>
    </w:p>
    <w:p>
      <w:pPr>
        <w:widowControl/>
        <w:spacing w:after="60"/>
        <w:ind w:left="259" w:hanging="259"/>
      </w:pPr>
      <w:r>
        <w:rPr>
          <w:rFonts w:ascii="Arial" w:hAnsi="Arial"/>
          <w:b w:val="0"/>
          <w:i w:val="0"/>
          <w:sz w:val="19"/>
        </w:rPr>
        <w:t>☐  Schedule A lists included work, exclusions, dates, users, support, fees, and dependencies.</w:t>
      </w:r>
    </w:p>
    <w:p>
      <w:pPr>
        <w:widowControl/>
        <w:spacing w:after="60"/>
        <w:ind w:left="259" w:hanging="259"/>
      </w:pPr>
      <w:r>
        <w:rPr>
          <w:rFonts w:ascii="Arial" w:hAnsi="Arial"/>
          <w:b w:val="0"/>
          <w:i w:val="0"/>
          <w:sz w:val="19"/>
        </w:rPr>
        <w:t>☐  Schedule B contains practical evaluation measures and a review date.</w:t>
      </w:r>
    </w:p>
    <w:p>
      <w:pPr>
        <w:widowControl/>
        <w:spacing w:after="60"/>
        <w:ind w:left="259" w:hanging="259"/>
      </w:pPr>
      <w:r>
        <w:rPr>
          <w:rFonts w:ascii="Arial" w:hAnsi="Arial"/>
          <w:b w:val="0"/>
          <w:i w:val="0"/>
          <w:sz w:val="19"/>
        </w:rPr>
        <w:t>☐  Data, confidentiality, IP, security, retention, and deletion terms fit the actual Pilot.</w:t>
      </w:r>
    </w:p>
    <w:p>
      <w:pPr>
        <w:widowControl/>
        <w:spacing w:after="60"/>
        <w:ind w:left="259" w:hanging="259"/>
      </w:pPr>
      <w:r>
        <w:rPr>
          <w:rFonts w:ascii="Arial" w:hAnsi="Arial"/>
          <w:b w:val="0"/>
          <w:i w:val="0"/>
          <w:sz w:val="19"/>
        </w:rPr>
        <w:t>☐  Liability, indemnity (if any), warranties, and governing law have been reviewed for the transaction.</w:t>
      </w:r>
    </w:p>
    <w:p>
      <w:pPr>
        <w:widowControl/>
        <w:spacing w:after="60"/>
        <w:ind w:left="259" w:hanging="259"/>
      </w:pPr>
      <w:r>
        <w:rPr>
          <w:rFonts w:ascii="Arial" w:hAnsi="Arial"/>
          <w:b w:val="0"/>
          <w:i w:val="0"/>
          <w:sz w:val="19"/>
        </w:rPr>
        <w:t>☐  No automatic subscription or purchase obligation is implied unless expressly agreed.</w:t>
      </w:r>
    </w:p>
    <w:p>
      <w:pPr>
        <w:widowControl/>
        <w:spacing w:after="60"/>
        <w:ind w:left="259" w:hanging="259"/>
      </w:pPr>
      <w:r>
        <w:rPr>
          <w:rFonts w:ascii="Arial" w:hAnsi="Arial"/>
          <w:b w:val="0"/>
          <w:i w:val="0"/>
          <w:sz w:val="19"/>
        </w:rPr>
        <w:t>☐  All necessary internal approvals and signatures are complete before data access or work begins.</w:t>
      </w:r>
    </w:p>
    <w:tbl>
      <w:tblPr>
        <w:tblW w:type="auto" w:w="0"/>
        <w:jc w:val="center"/>
        <w:tblLayout w:type="fixed"/>
        <w:tblLook w:firstColumn="1" w:firstRow="1" w:lastColumn="0" w:lastRow="0" w:noHBand="0" w:noVBand="1" w:val="04A0"/>
      </w:tblPr>
      <w:tblGrid>
        <w:gridCol w:w="9864"/>
      </w:tblGrid>
      <w:tr>
        <w:trPr>
          <w:cantSplit/>
        </w:trPr>
        <w:tc>
          <w:tcPr>
            <w:tcW w:type="dxa" w:w="9994"/>
            <w:shd w:fill="FFF4E5"/>
            <w:tcMar>
              <w:top w:w="130" w:type="dxa"/>
              <w:start w:w="160" w:type="dxa"/>
              <w:bottom w:w="130" w:type="dxa"/>
              <w:end w:w="160" w:type="dxa"/>
            </w:tcMar>
          </w:tcPr>
          <w:p>
            <w:pPr>
              <w:widowControl/>
              <w:spacing w:after="40"/>
            </w:pPr>
            <w:r>
              <w:rPr>
                <w:rFonts w:ascii="Arial" w:hAnsi="Arial"/>
                <w:b/>
                <w:i w:val="0"/>
                <w:color w:val="B7791F"/>
                <w:sz w:val="19"/>
              </w:rPr>
              <w:t>FINAL REMINDER</w:t>
            </w:r>
          </w:p>
          <w:p>
            <w:pPr>
              <w:widowControl/>
              <w:spacing w:after="0"/>
            </w:pPr>
            <w:r>
              <w:rPr>
                <w:rFonts w:ascii="Arial" w:hAnsi="Arial"/>
                <w:b w:val="0"/>
                <w:i w:val="0"/>
                <w:color w:val="1F2933"/>
                <w:sz w:val="18"/>
              </w:rPr>
              <w:t>This document is a customizable starting point. Do not use it unchanged for regulated data, high-risk use cases, significant custom development, sensitive IP arrangements, or cross-border processing without appropriate professional review.</w:t>
            </w:r>
          </w:p>
        </w:tc>
      </w:tr>
    </w:tbl>
    <w:p>
      <w:pPr>
        <w:widowControl/>
        <w:spacing w:after="20"/>
      </w:pPr>
    </w:p>
    <w:sectPr w:rsidR="00FC693F" w:rsidRPr="0006063C" w:rsidSect="00034616">
      <w:headerReference w:type="default" r:id="rId9"/>
      <w:footerReference w:type="default" r:id="rId10"/>
      <w:pgSz w:w="12240" w:h="15840"/>
      <w:pgMar w:top="1037" w:right="1123" w:bottom="1037" w:left="1123" w:header="461"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b w:val="0"/>
        <w:i w:val="0"/>
        <w:color w:val="536273"/>
        <w:sz w:val="16"/>
      </w:rPr>
      <w:t>Editable starting template | Review and customize before signing</w:t>
    </w:r>
  </w:p>
  <w:p>
    <w:pPr>
      <w:jc w:val="right"/>
    </w:pPr>
    <w:r>
      <w:rPr>
        <w:color w:val="536273"/>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40"/>
      <w:jc w:val="left"/>
      <w:pBdr>
        <w:bottom w:val="single" w:sz="8" w:space="4" w:color="087E8B"/>
      </w:pBdr>
    </w:pPr>
    <w:r>
      <w:rPr>
        <w:rFonts w:ascii="Arial" w:hAnsi="Arial"/>
        <w:b/>
        <w:i w:val="0"/>
        <w:color w:val="087E8B"/>
        <w:sz w:val="16"/>
      </w:rPr>
      <w:t>FOUNDINGMIND  /  STARTUP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rial" w:hAnsi="Arial"/>
      <w:color w:val="1F2933"/>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7324D"/>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87E8B"/>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17324D"/>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7324D"/>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536273"/>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SaaS Pilot Agreement Template for Startups</dc:title>
  <dc:subject>Editable starting template for a B2B SaaS pilot agreement</dc:subject>
  <dc:creator>FoundingMind</dc:creator>
  <cp:keywords>SaaS, pilot agreement, startup, contract template</cp:keywords>
  <dc:description>General starting template; not legal advice.</dc:description>
  <cp:lastModifiedBy/>
  <cp:revision>1</cp:revision>
  <dcterms:created xsi:type="dcterms:W3CDTF">2013-12-23T23:15:00Z</dcterms:created>
  <dcterms:modified xsi:type="dcterms:W3CDTF">2013-12-23T23:15:00Z</dcterms:modified>
  <cp:category/>
</cp:coreProperties>
</file>